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E4CB" w14:textId="77777777" w:rsidR="0054644E" w:rsidRDefault="00000000">
      <w:pPr>
        <w:pStyle w:val="BodyText"/>
        <w:spacing w:before="77" w:line="242" w:lineRule="auto"/>
        <w:ind w:right="113"/>
      </w:pPr>
      <w:r>
        <w:t>PROSTHETIC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SOCIODEMOGRAPHIC</w:t>
      </w:r>
      <w:r>
        <w:rPr>
          <w:spacing w:val="1"/>
        </w:rPr>
        <w:t xml:space="preserve"> </w:t>
      </w:r>
      <w:r>
        <w:t>MODULATORS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HEALTH-RELATED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IMPLANT</w:t>
      </w:r>
      <w:r>
        <w:rPr>
          <w:spacing w:val="-1"/>
        </w:rPr>
        <w:t xml:space="preserve"> </w:t>
      </w:r>
      <w:r>
        <w:t>OVERDENTURE</w:t>
      </w:r>
      <w:r>
        <w:rPr>
          <w:spacing w:val="-1"/>
        </w:rPr>
        <w:t xml:space="preserve"> </w:t>
      </w:r>
      <w:r>
        <w:t>WEARERS.</w:t>
      </w:r>
    </w:p>
    <w:p w14:paraId="0E173CBB" w14:textId="77777777" w:rsidR="0054644E" w:rsidRDefault="0054644E">
      <w:pPr>
        <w:pStyle w:val="BodyText"/>
        <w:spacing w:before="10"/>
        <w:ind w:left="0"/>
        <w:jc w:val="left"/>
        <w:rPr>
          <w:sz w:val="22"/>
        </w:rPr>
      </w:pPr>
    </w:p>
    <w:p w14:paraId="0F16DA3A" w14:textId="77777777" w:rsidR="0054644E" w:rsidRDefault="00000000">
      <w:pPr>
        <w:pStyle w:val="BodyText"/>
        <w:spacing w:before="1" w:line="242" w:lineRule="auto"/>
        <w:ind w:right="114"/>
      </w:pPr>
      <w:r>
        <w:rPr>
          <w:b/>
        </w:rPr>
        <w:t>Objectives:</w:t>
      </w:r>
      <w:r>
        <w:rPr>
          <w:b/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modulate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health-related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life</w:t>
      </w:r>
      <w:r>
        <w:rPr>
          <w:spacing w:val="-60"/>
        </w:rPr>
        <w:t xml:space="preserve"> </w:t>
      </w:r>
      <w:r>
        <w:t>(</w:t>
      </w:r>
      <w:proofErr w:type="spellStart"/>
      <w:r>
        <w:t>OHRQoL</w:t>
      </w:r>
      <w:proofErr w:type="spellEnd"/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maxillary</w:t>
      </w:r>
      <w:r>
        <w:rPr>
          <w:spacing w:val="-1"/>
        </w:rPr>
        <w:t xml:space="preserve"> </w:t>
      </w:r>
      <w:r>
        <w:t>implant-overdentures</w:t>
      </w:r>
      <w:r>
        <w:rPr>
          <w:spacing w:val="-1"/>
        </w:rPr>
        <w:t xml:space="preserve"> </w:t>
      </w:r>
      <w:r>
        <w:t>(</w:t>
      </w:r>
      <w:proofErr w:type="spellStart"/>
      <w:r>
        <w:t>IOmx</w:t>
      </w:r>
      <w:proofErr w:type="spellEnd"/>
      <w:r>
        <w:t>).</w:t>
      </w:r>
    </w:p>
    <w:p w14:paraId="7ABEADEC" w14:textId="77777777" w:rsidR="0054644E" w:rsidRDefault="0054644E">
      <w:pPr>
        <w:pStyle w:val="BodyText"/>
        <w:spacing w:before="1"/>
        <w:ind w:left="0"/>
        <w:jc w:val="left"/>
        <w:rPr>
          <w:sz w:val="23"/>
        </w:rPr>
      </w:pPr>
    </w:p>
    <w:p w14:paraId="00232230" w14:textId="77777777" w:rsidR="0054644E" w:rsidRDefault="00000000">
      <w:pPr>
        <w:pStyle w:val="BodyText"/>
        <w:spacing w:before="1" w:line="235" w:lineRule="auto"/>
        <w:ind w:right="113"/>
      </w:pPr>
      <w:r>
        <w:rPr>
          <w:b/>
        </w:rPr>
        <w:t xml:space="preserve">Materials and Methods: </w:t>
      </w:r>
      <w:r>
        <w:t xml:space="preserve">70 patients wearing </w:t>
      </w:r>
      <w:proofErr w:type="spellStart"/>
      <w:r>
        <w:t>IOmx</w:t>
      </w:r>
      <w:proofErr w:type="spellEnd"/>
      <w:r>
        <w:t xml:space="preserve"> were recruited by a consecutive sampling</w:t>
      </w:r>
      <w:r>
        <w:rPr>
          <w:spacing w:val="1"/>
        </w:rPr>
        <w:t xml:space="preserve"> </w:t>
      </w:r>
      <w:r>
        <w:t>procedure for this cross-sectional study. Participants were classified into 2 balanced groups</w:t>
      </w:r>
      <w:r>
        <w:rPr>
          <w:spacing w:val="1"/>
        </w:rPr>
        <w:t xml:space="preserve"> </w:t>
      </w:r>
      <w:r>
        <w:t>according to their partnership status (</w:t>
      </w:r>
      <w:r>
        <w:rPr>
          <w:sz w:val="21"/>
        </w:rPr>
        <w:t>n</w:t>
      </w:r>
      <w:r>
        <w:t>= 35 each): Group-1 (patients with partner), Group-2</w:t>
      </w:r>
      <w:r>
        <w:rPr>
          <w:spacing w:val="1"/>
        </w:rPr>
        <w:t xml:space="preserve"> </w:t>
      </w:r>
      <w:r>
        <w:t>(patients</w:t>
      </w:r>
      <w:r>
        <w:rPr>
          <w:spacing w:val="-10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partner);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concerning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gender</w:t>
      </w:r>
      <w:r>
        <w:rPr>
          <w:spacing w:val="-9"/>
        </w:rPr>
        <w:t xml:space="preserve"> </w:t>
      </w:r>
      <w:r>
        <w:t>(</w:t>
      </w:r>
      <w:r>
        <w:rPr>
          <w:sz w:val="21"/>
        </w:rPr>
        <w:t>n</w:t>
      </w:r>
      <w:r>
        <w:t>=</w:t>
      </w:r>
      <w:r>
        <w:rPr>
          <w:spacing w:val="-11"/>
        </w:rPr>
        <w:t xml:space="preserve"> </w:t>
      </w:r>
      <w:r>
        <w:t>35</w:t>
      </w:r>
      <w:r>
        <w:rPr>
          <w:spacing w:val="-9"/>
        </w:rPr>
        <w:t xml:space="preserve"> </w:t>
      </w:r>
      <w:r>
        <w:t>each):</w:t>
      </w:r>
      <w:r>
        <w:rPr>
          <w:spacing w:val="-10"/>
        </w:rPr>
        <w:t xml:space="preserve"> </w:t>
      </w:r>
      <w:r>
        <w:t>Group-A</w:t>
      </w:r>
      <w:r>
        <w:rPr>
          <w:spacing w:val="-9"/>
        </w:rPr>
        <w:t xml:space="preserve"> </w:t>
      </w:r>
      <w:r>
        <w:t>(women),</w:t>
      </w:r>
      <w:r>
        <w:rPr>
          <w:spacing w:val="-10"/>
        </w:rPr>
        <w:t xml:space="preserve"> </w:t>
      </w:r>
      <w:r>
        <w:t>Group-</w:t>
      </w:r>
      <w:r>
        <w:rPr>
          <w:spacing w:val="-60"/>
        </w:rPr>
        <w:t xml:space="preserve"> </w:t>
      </w:r>
      <w:r>
        <w:t>B (men). QoLIP-10, QoLFAST-10, and QoLDAS-9 questionnaires were responded, and patients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clinically</w:t>
      </w:r>
      <w:r>
        <w:rPr>
          <w:spacing w:val="1"/>
        </w:rPr>
        <w:t xml:space="preserve"> </w:t>
      </w:r>
      <w:r>
        <w:t>examined.</w:t>
      </w:r>
      <w:r>
        <w:rPr>
          <w:spacing w:val="1"/>
        </w:rPr>
        <w:t xml:space="preserve"> </w:t>
      </w:r>
      <w:proofErr w:type="gramStart"/>
      <w:r>
        <w:t>Sociodemographic,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prosthesis-related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gathered.</w:t>
      </w:r>
      <w:r>
        <w:rPr>
          <w:spacing w:val="1"/>
        </w:rPr>
        <w:t xml:space="preserve"> </w:t>
      </w:r>
      <w:r>
        <w:t>Descriptive statistics were calculated. Potential QoL modulators were assessed using non-</w:t>
      </w:r>
      <w:r>
        <w:rPr>
          <w:spacing w:val="1"/>
        </w:rPr>
        <w:t xml:space="preserve"> </w:t>
      </w:r>
      <w:r>
        <w:t>parametric</w:t>
      </w:r>
      <w:r>
        <w:rPr>
          <w:spacing w:val="-3"/>
        </w:rPr>
        <w:t xml:space="preserve"> </w:t>
      </w:r>
      <w:r>
        <w:t>probes</w:t>
      </w:r>
      <w:r>
        <w:rPr>
          <w:spacing w:val="-2"/>
        </w:rPr>
        <w:t xml:space="preserve"> </w:t>
      </w:r>
      <w:r>
        <w:t>(Chi-square,</w:t>
      </w:r>
      <w:r>
        <w:rPr>
          <w:spacing w:val="-2"/>
        </w:rPr>
        <w:t xml:space="preserve"> </w:t>
      </w:r>
      <w:r>
        <w:t>Kruskal-Wallis,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Mann-Whitney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tests;</w:t>
      </w:r>
      <w:r>
        <w:rPr>
          <w:spacing w:val="-1"/>
        </w:rPr>
        <w:t xml:space="preserve"> </w:t>
      </w:r>
      <w:r>
        <w:rPr>
          <w:rFonts w:ascii="Symbol" w:hAnsi="Symbol"/>
          <w:sz w:val="21"/>
        </w:rPr>
        <w:t></w:t>
      </w:r>
      <w:r>
        <w:rPr>
          <w:sz w:val="21"/>
        </w:rPr>
        <w:t>=</w:t>
      </w:r>
      <w:r>
        <w:rPr>
          <w:spacing w:val="-6"/>
          <w:sz w:val="21"/>
        </w:rPr>
        <w:t xml:space="preserve"> </w:t>
      </w:r>
      <w:r>
        <w:t>0.05).</w:t>
      </w:r>
    </w:p>
    <w:p w14:paraId="5EE32AD5" w14:textId="77777777" w:rsidR="0054644E" w:rsidRDefault="0054644E">
      <w:pPr>
        <w:pStyle w:val="BodyText"/>
        <w:ind w:left="0"/>
        <w:jc w:val="left"/>
        <w:rPr>
          <w:sz w:val="23"/>
        </w:rPr>
      </w:pPr>
    </w:p>
    <w:p w14:paraId="4BEF0B57" w14:textId="77777777" w:rsidR="0054644E" w:rsidRDefault="00000000">
      <w:pPr>
        <w:pStyle w:val="BodyText"/>
        <w:spacing w:line="232" w:lineRule="auto"/>
        <w:ind w:right="113"/>
      </w:pPr>
      <w:r>
        <w:rPr>
          <w:b/>
        </w:rPr>
        <w:t xml:space="preserve">Results: </w:t>
      </w:r>
      <w:r>
        <w:t>The QoLDAS-9 scale discriminated the study groups (</w:t>
      </w:r>
      <w:r>
        <w:rPr>
          <w:sz w:val="21"/>
        </w:rPr>
        <w:t>p</w:t>
      </w:r>
      <w:r>
        <w:t>&lt; 0.05). The partnership status</w:t>
      </w:r>
      <w:r>
        <w:rPr>
          <w:spacing w:val="-60"/>
        </w:rPr>
        <w:t xml:space="preserve"> </w:t>
      </w:r>
      <w:r>
        <w:t xml:space="preserve">significantly affected </w:t>
      </w:r>
      <w:proofErr w:type="gramStart"/>
      <w:r>
        <w:t>the item</w:t>
      </w:r>
      <w:proofErr w:type="gramEnd"/>
      <w:r>
        <w:t xml:space="preserve"> 7 of the QoLDAS-9 index (Socio-dental dimension), the Group-2</w:t>
      </w:r>
      <w:r>
        <w:rPr>
          <w:spacing w:val="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satisfied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prosthetic</w:t>
      </w:r>
      <w:r>
        <w:rPr>
          <w:spacing w:val="-1"/>
        </w:rPr>
        <w:t xml:space="preserve"> </w:t>
      </w:r>
      <w:r>
        <w:t>teeth</w:t>
      </w:r>
      <w:r>
        <w:rPr>
          <w:spacing w:val="-2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Group-1</w:t>
      </w:r>
      <w:r>
        <w:rPr>
          <w:spacing w:val="-2"/>
        </w:rPr>
        <w:t xml:space="preserve"> </w:t>
      </w:r>
      <w:r>
        <w:t>(</w:t>
      </w:r>
      <w:r>
        <w:rPr>
          <w:sz w:val="21"/>
        </w:rPr>
        <w:t>p</w:t>
      </w:r>
      <w:r>
        <w:t>=</w:t>
      </w:r>
      <w:r>
        <w:rPr>
          <w:spacing w:val="-2"/>
        </w:rPr>
        <w:t xml:space="preserve"> </w:t>
      </w:r>
      <w:r>
        <w:t>0.005).</w:t>
      </w:r>
    </w:p>
    <w:p w14:paraId="2C92E84A" w14:textId="77777777" w:rsidR="0054644E" w:rsidRDefault="00000000">
      <w:pPr>
        <w:pStyle w:val="BodyText"/>
        <w:spacing w:before="4" w:line="232" w:lineRule="auto"/>
        <w:ind w:right="113"/>
      </w:pPr>
      <w:r>
        <w:t>The gender modulates the QoLDAS-9 total score, conferring to Group-A better self-perception</w:t>
      </w:r>
      <w:r>
        <w:rPr>
          <w:spacing w:val="1"/>
        </w:rPr>
        <w:t xml:space="preserve"> </w:t>
      </w:r>
      <w:r>
        <w:t xml:space="preserve">with the </w:t>
      </w:r>
      <w:proofErr w:type="spellStart"/>
      <w:r>
        <w:t>IOmx</w:t>
      </w:r>
      <w:proofErr w:type="spellEnd"/>
      <w:r>
        <w:t xml:space="preserve"> (</w:t>
      </w:r>
      <w:r>
        <w:rPr>
          <w:sz w:val="21"/>
        </w:rPr>
        <w:t>p</w:t>
      </w:r>
      <w:r>
        <w:t>= 0.000), concretely about its Psycho-facial (</w:t>
      </w:r>
      <w:r>
        <w:rPr>
          <w:sz w:val="21"/>
        </w:rPr>
        <w:t>p</w:t>
      </w:r>
      <w:r>
        <w:t>= 0.000) and Interactive (</w:t>
      </w:r>
      <w:r>
        <w:rPr>
          <w:sz w:val="21"/>
        </w:rPr>
        <w:t>p</w:t>
      </w:r>
      <w:r>
        <w:t>=</w:t>
      </w:r>
      <w:r>
        <w:rPr>
          <w:spacing w:val="1"/>
        </w:rPr>
        <w:t xml:space="preserve"> </w:t>
      </w:r>
      <w:r>
        <w:t xml:space="preserve">0.016) domains. Group-A referred better wellbeing with the </w:t>
      </w:r>
      <w:proofErr w:type="spellStart"/>
      <w:r>
        <w:t>IOmx</w:t>
      </w:r>
      <w:proofErr w:type="spellEnd"/>
      <w:r>
        <w:t xml:space="preserve"> when speaking (item 9,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subscale)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QoLIP-10</w:t>
      </w:r>
      <w:r>
        <w:rPr>
          <w:spacing w:val="-1"/>
        </w:rPr>
        <w:t xml:space="preserve"> </w:t>
      </w:r>
      <w:r>
        <w:t>(</w:t>
      </w:r>
      <w:r>
        <w:rPr>
          <w:sz w:val="21"/>
        </w:rPr>
        <w:t>p</w:t>
      </w:r>
      <w:r>
        <w:t>&lt;</w:t>
      </w:r>
      <w:r>
        <w:rPr>
          <w:spacing w:val="-3"/>
        </w:rPr>
        <w:t xml:space="preserve"> </w:t>
      </w:r>
      <w:r>
        <w:t>0.05).</w:t>
      </w:r>
    </w:p>
    <w:p w14:paraId="1AE63700" w14:textId="77777777" w:rsidR="0054644E" w:rsidRDefault="00000000">
      <w:pPr>
        <w:pStyle w:val="BodyText"/>
        <w:spacing w:before="4" w:line="228" w:lineRule="auto"/>
        <w:ind w:right="114"/>
      </w:pPr>
      <w:r>
        <w:t>The partnership status affected the QoLFAST-10 Social dimension (</w:t>
      </w:r>
      <w:r>
        <w:rPr>
          <w:sz w:val="21"/>
        </w:rPr>
        <w:t>p</w:t>
      </w:r>
      <w:r>
        <w:t>&lt; 0.02) and total score</w:t>
      </w:r>
      <w:r>
        <w:rPr>
          <w:spacing w:val="1"/>
        </w:rPr>
        <w:t xml:space="preserve"> </w:t>
      </w:r>
      <w:r>
        <w:t>(</w:t>
      </w:r>
      <w:r>
        <w:rPr>
          <w:sz w:val="21"/>
        </w:rPr>
        <w:t>p</w:t>
      </w:r>
      <w:r>
        <w:t>&lt;0.05),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volunteers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satisfied.</w:t>
      </w:r>
    </w:p>
    <w:p w14:paraId="0CD8C5DB" w14:textId="77777777" w:rsidR="0054644E" w:rsidRDefault="00000000">
      <w:pPr>
        <w:pStyle w:val="BodyText"/>
        <w:spacing w:before="6" w:line="230" w:lineRule="auto"/>
        <w:ind w:right="113"/>
      </w:pPr>
      <w:r>
        <w:t xml:space="preserve">The retention system did not impact the QoL perception, while the bar </w:t>
      </w:r>
      <w:proofErr w:type="gramStart"/>
      <w:r>
        <w:t>worsen</w:t>
      </w:r>
      <w:proofErr w:type="gramEnd"/>
      <w:r>
        <w:t xml:space="preserve"> the appearance</w:t>
      </w:r>
      <w:r>
        <w:rPr>
          <w:spacing w:val="1"/>
        </w:rPr>
        <w:t xml:space="preserve"> </w:t>
      </w:r>
      <w:r>
        <w:t>of the oral mucosa (</w:t>
      </w:r>
      <w:r>
        <w:rPr>
          <w:sz w:val="21"/>
        </w:rPr>
        <w:t>p</w:t>
      </w:r>
      <w:r>
        <w:t xml:space="preserve">= 0.05). The </w:t>
      </w:r>
      <w:proofErr w:type="spellStart"/>
      <w:r>
        <w:t>OHRQoL</w:t>
      </w:r>
      <w:proofErr w:type="spellEnd"/>
      <w:r>
        <w:t xml:space="preserve"> increased as the retention, stability, and aesthetics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prosthesis</w:t>
      </w:r>
      <w:r>
        <w:rPr>
          <w:spacing w:val="-1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(</w:t>
      </w:r>
      <w:r>
        <w:rPr>
          <w:sz w:val="21"/>
        </w:rPr>
        <w:t>p</w:t>
      </w:r>
      <w:r>
        <w:t>&lt;</w:t>
      </w:r>
      <w:r>
        <w:rPr>
          <w:spacing w:val="-2"/>
        </w:rPr>
        <w:t xml:space="preserve"> </w:t>
      </w:r>
      <w:r>
        <w:t>0.05).</w:t>
      </w:r>
    </w:p>
    <w:p w14:paraId="732B27A4" w14:textId="77777777" w:rsidR="0054644E" w:rsidRDefault="0054644E">
      <w:pPr>
        <w:pStyle w:val="BodyText"/>
        <w:spacing w:before="9"/>
        <w:ind w:left="0"/>
        <w:jc w:val="left"/>
        <w:rPr>
          <w:sz w:val="19"/>
        </w:rPr>
      </w:pPr>
    </w:p>
    <w:p w14:paraId="599CAA8C" w14:textId="77777777" w:rsidR="0054644E" w:rsidRDefault="00000000">
      <w:pPr>
        <w:pStyle w:val="BodyText"/>
        <w:ind w:right="113"/>
      </w:pPr>
      <w:r>
        <w:rPr>
          <w:b/>
        </w:rPr>
        <w:t xml:space="preserve">Conclusions: </w:t>
      </w:r>
      <w:r>
        <w:t xml:space="preserve">Overall, </w:t>
      </w:r>
      <w:proofErr w:type="spellStart"/>
      <w:r>
        <w:t>IOmx</w:t>
      </w:r>
      <w:proofErr w:type="spellEnd"/>
      <w:r>
        <w:t xml:space="preserve"> wearers have a satisfactory </w:t>
      </w:r>
      <w:proofErr w:type="spellStart"/>
      <w:r>
        <w:t>OHRQoL</w:t>
      </w:r>
      <w:proofErr w:type="spellEnd"/>
      <w:r>
        <w:t xml:space="preserve">. The </w:t>
      </w:r>
      <w:proofErr w:type="spellStart"/>
      <w:r>
        <w:t>IOmx</w:t>
      </w:r>
      <w:proofErr w:type="spellEnd"/>
      <w:r>
        <w:t xml:space="preserve"> retention system</w:t>
      </w:r>
      <w:r>
        <w:rPr>
          <w:spacing w:val="1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influence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t>OHRQoL</w:t>
      </w:r>
      <w:proofErr w:type="spellEnd"/>
      <w:r>
        <w:t>.</w:t>
      </w:r>
      <w:r>
        <w:rPr>
          <w:spacing w:val="-7"/>
        </w:rPr>
        <w:t xml:space="preserve"> </w:t>
      </w:r>
      <w:r>
        <w:t>Women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partner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satisfied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60"/>
        </w:rPr>
        <w:t xml:space="preserve"> </w:t>
      </w:r>
      <w:r>
        <w:t xml:space="preserve">treatment. A better </w:t>
      </w:r>
      <w:proofErr w:type="spellStart"/>
      <w:r>
        <w:t>OHRQoL</w:t>
      </w:r>
      <w:proofErr w:type="spellEnd"/>
      <w:r>
        <w:t xml:space="preserve"> is perceived when the retention, stability, and aesthetics of the</w:t>
      </w:r>
      <w:r>
        <w:rPr>
          <w:spacing w:val="1"/>
        </w:rPr>
        <w:t xml:space="preserve"> </w:t>
      </w:r>
      <w:r>
        <w:t>restoration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suitable.</w:t>
      </w:r>
    </w:p>
    <w:sectPr w:rsidR="0054644E">
      <w:type w:val="continuous"/>
      <w:pgSz w:w="11900" w:h="16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644E"/>
    <w:rsid w:val="0054644E"/>
    <w:rsid w:val="00B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08A7"/>
  <w15:docId w15:val="{DC577349-FD99-4309-B5F2-D6F80339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1969</Characters>
  <Application>Microsoft Office Word</Application>
  <DocSecurity>0</DocSecurity>
  <Lines>33</Lines>
  <Paragraphs>10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Angelica Lo Sardo. EPA.docx</dc:title>
  <cp:lastModifiedBy>Violeta Creativa</cp:lastModifiedBy>
  <cp:revision>2</cp:revision>
  <dcterms:created xsi:type="dcterms:W3CDTF">2023-07-09T21:14:00Z</dcterms:created>
  <dcterms:modified xsi:type="dcterms:W3CDTF">2023-07-09T21:14:00Z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Word</vt:lpwstr>
  </property>
  <property fmtid="{D5CDD505-2E9C-101B-9397-08002B2CF9AE}" pid="4" name="LastSaved">
    <vt:filetime>2023-07-09T00:00:00Z</vt:filetime>
  </property>
  <property fmtid="{D5CDD505-2E9C-101B-9397-08002B2CF9AE}" pid="5" name="GrammarlyDocumentId">
    <vt:lpwstr>d1be1de278ca998ebefb79da49d71a3597454f968450f0472b29b8583f71defd</vt:lpwstr>
  </property>
</Properties>
</file>