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FC800" w14:textId="7E5CA946" w:rsidR="00A1352A" w:rsidRDefault="00493508">
      <w:pPr>
        <w:spacing w:line="276" w:lineRule="auto"/>
        <w:jc w:val="center"/>
        <w:rPr>
          <w:rFonts w:ascii="Times New Roman" w:hAnsi="Times New Roman" w:cs="Times New Roman"/>
          <w:b/>
        </w:rPr>
      </w:pPr>
      <w:r w:rsidRPr="00493508">
        <w:rPr>
          <w:rFonts w:ascii="Times New Roman" w:hAnsi="Times New Roman" w:cs="Times New Roman"/>
          <w:b/>
        </w:rPr>
        <w:t>THE EFFECT OF ANGIOTENSIN II IN SEPTIC DISTRIBUTIVE SHOCK</w:t>
      </w:r>
    </w:p>
    <w:p w14:paraId="3A253221" w14:textId="77777777" w:rsidR="00493508" w:rsidRPr="00493508" w:rsidRDefault="00493508">
      <w:pPr>
        <w:spacing w:line="276" w:lineRule="auto"/>
        <w:jc w:val="center"/>
        <w:rPr>
          <w:rFonts w:ascii="Times New Roman" w:hAnsi="Times New Roman" w:cs="Times New Roman"/>
          <w:b/>
        </w:rPr>
      </w:pPr>
    </w:p>
    <w:p w14:paraId="2FB87C39" w14:textId="7CA49DB7" w:rsidR="00A1352A" w:rsidRPr="00493508" w:rsidRDefault="00000000">
      <w:pPr>
        <w:spacing w:line="276" w:lineRule="auto"/>
        <w:jc w:val="center"/>
        <w:rPr>
          <w:rFonts w:ascii="Times New Roman" w:hAnsi="Times New Roman" w:cs="Times New Roman"/>
          <w:b/>
          <w:vertAlign w:val="superscript"/>
        </w:rPr>
      </w:pPr>
      <w:r w:rsidRPr="00493508">
        <w:rPr>
          <w:rFonts w:ascii="Times New Roman" w:hAnsi="Times New Roman" w:cs="Times New Roman"/>
          <w:b/>
        </w:rPr>
        <w:t>Paulina Aldakauskaitė</w:t>
      </w:r>
      <w:r w:rsidRPr="00493508">
        <w:rPr>
          <w:rFonts w:ascii="Times New Roman" w:hAnsi="Times New Roman" w:cs="Times New Roman"/>
          <w:b/>
          <w:vertAlign w:val="superscript"/>
        </w:rPr>
        <w:t>1</w:t>
      </w:r>
      <w:r w:rsidRPr="00493508">
        <w:rPr>
          <w:rFonts w:ascii="Times New Roman" w:hAnsi="Times New Roman" w:cs="Times New Roman"/>
          <w:b/>
        </w:rPr>
        <w:t>; prof. Andrius Pranskūnas</w:t>
      </w:r>
      <w:r w:rsidRPr="00493508">
        <w:rPr>
          <w:rFonts w:ascii="Times New Roman" w:hAnsi="Times New Roman" w:cs="Times New Roman"/>
          <w:b/>
          <w:vertAlign w:val="superscript"/>
        </w:rPr>
        <w:t>1,2</w:t>
      </w:r>
      <w:r w:rsidRPr="00493508">
        <w:rPr>
          <w:rFonts w:ascii="Times New Roman" w:hAnsi="Times New Roman" w:cs="Times New Roman"/>
          <w:b/>
        </w:rPr>
        <w:t xml:space="preserve">; </w:t>
      </w:r>
      <w:r w:rsidR="00993F45" w:rsidRPr="00493508">
        <w:rPr>
          <w:rFonts w:ascii="Times New Roman" w:hAnsi="Times New Roman" w:cs="Times New Roman"/>
          <w:b/>
        </w:rPr>
        <w:t>assoc</w:t>
      </w:r>
      <w:r w:rsidRPr="00493508">
        <w:rPr>
          <w:rFonts w:ascii="Times New Roman" w:hAnsi="Times New Roman" w:cs="Times New Roman"/>
          <w:b/>
        </w:rPr>
        <w:t>.</w:t>
      </w:r>
      <w:r w:rsidR="00993F45" w:rsidRPr="00493508">
        <w:rPr>
          <w:rFonts w:ascii="Times New Roman" w:hAnsi="Times New Roman" w:cs="Times New Roman"/>
          <w:b/>
        </w:rPr>
        <w:t xml:space="preserve"> prof.</w:t>
      </w:r>
      <w:r w:rsidRPr="00493508">
        <w:rPr>
          <w:rFonts w:ascii="Times New Roman" w:hAnsi="Times New Roman" w:cs="Times New Roman"/>
          <w:b/>
        </w:rPr>
        <w:t xml:space="preserve"> Tomas Tamošuitis</w:t>
      </w:r>
      <w:r w:rsidRPr="00493508">
        <w:rPr>
          <w:rFonts w:ascii="Times New Roman" w:hAnsi="Times New Roman" w:cs="Times New Roman"/>
          <w:b/>
          <w:vertAlign w:val="superscript"/>
        </w:rPr>
        <w:t>1,2</w:t>
      </w:r>
    </w:p>
    <w:p w14:paraId="5382507A" w14:textId="77777777" w:rsidR="00A1352A" w:rsidRPr="00493508" w:rsidRDefault="00000000">
      <w:pPr>
        <w:spacing w:line="276" w:lineRule="auto"/>
        <w:jc w:val="center"/>
        <w:rPr>
          <w:rFonts w:ascii="Times New Roman" w:hAnsi="Times New Roman" w:cs="Times New Roman"/>
        </w:rPr>
      </w:pPr>
      <w:r w:rsidRPr="00493508">
        <w:rPr>
          <w:rFonts w:ascii="Times New Roman" w:hAnsi="Times New Roman" w:cs="Times New Roman"/>
          <w:b/>
          <w:vertAlign w:val="superscript"/>
        </w:rPr>
        <w:t>1</w:t>
      </w:r>
      <w:r w:rsidRPr="00493508">
        <w:rPr>
          <w:rFonts w:ascii="Times New Roman" w:hAnsi="Times New Roman" w:cs="Times New Roman"/>
          <w:vertAlign w:val="superscript"/>
        </w:rPr>
        <w:t xml:space="preserve"> </w:t>
      </w:r>
      <w:r w:rsidRPr="00493508">
        <w:rPr>
          <w:rFonts w:ascii="Times New Roman" w:hAnsi="Times New Roman" w:cs="Times New Roman"/>
        </w:rPr>
        <w:t xml:space="preserve">Hospital of Lithuanian University of health Sciences Kaunas </w:t>
      </w:r>
      <w:proofErr w:type="gramStart"/>
      <w:r w:rsidRPr="00493508">
        <w:rPr>
          <w:rFonts w:ascii="Times New Roman" w:hAnsi="Times New Roman" w:cs="Times New Roman"/>
        </w:rPr>
        <w:t>Clinics;</w:t>
      </w:r>
      <w:proofErr w:type="gramEnd"/>
    </w:p>
    <w:p w14:paraId="495633E2" w14:textId="77777777" w:rsidR="00A1352A" w:rsidRPr="00493508" w:rsidRDefault="00000000">
      <w:pPr>
        <w:spacing w:line="276" w:lineRule="auto"/>
        <w:jc w:val="center"/>
        <w:rPr>
          <w:rFonts w:ascii="Times New Roman" w:hAnsi="Times New Roman" w:cs="Times New Roman"/>
        </w:rPr>
      </w:pPr>
      <w:r w:rsidRPr="00493508">
        <w:rPr>
          <w:rFonts w:ascii="Times New Roman" w:hAnsi="Times New Roman" w:cs="Times New Roman"/>
          <w:b/>
          <w:vertAlign w:val="superscript"/>
        </w:rPr>
        <w:t>2</w:t>
      </w:r>
      <w:r w:rsidRPr="00493508">
        <w:rPr>
          <w:rFonts w:ascii="Times New Roman" w:hAnsi="Times New Roman" w:cs="Times New Roman"/>
          <w:vertAlign w:val="superscript"/>
        </w:rPr>
        <w:t xml:space="preserve"> </w:t>
      </w:r>
      <w:r w:rsidRPr="00493508">
        <w:rPr>
          <w:rFonts w:ascii="Times New Roman" w:hAnsi="Times New Roman" w:cs="Times New Roman"/>
        </w:rPr>
        <w:t>Lithuanian University of Health Sciences</w:t>
      </w:r>
    </w:p>
    <w:p w14:paraId="0B113D98" w14:textId="77777777" w:rsidR="00A1352A" w:rsidRPr="00493508" w:rsidRDefault="00A1352A">
      <w:pPr>
        <w:jc w:val="center"/>
        <w:rPr>
          <w:rFonts w:ascii="Times New Roman" w:hAnsi="Times New Roman" w:cs="Times New Roman"/>
          <w:b/>
        </w:rPr>
      </w:pPr>
    </w:p>
    <w:p w14:paraId="2F74B78D" w14:textId="77777777" w:rsidR="00A1352A" w:rsidRPr="00493508" w:rsidRDefault="00000000">
      <w:pPr>
        <w:rPr>
          <w:rFonts w:ascii="Times New Roman" w:hAnsi="Times New Roman" w:cs="Times New Roman"/>
          <w:b/>
        </w:rPr>
      </w:pPr>
      <w:r w:rsidRPr="00493508">
        <w:rPr>
          <w:rFonts w:ascii="Times New Roman" w:hAnsi="Times New Roman" w:cs="Times New Roman"/>
          <w:b/>
        </w:rPr>
        <w:t>Introduction</w:t>
      </w:r>
    </w:p>
    <w:p w14:paraId="2BB27311" w14:textId="77777777" w:rsidR="00A1352A" w:rsidRPr="00493508" w:rsidRDefault="00000000">
      <w:pPr>
        <w:ind w:firstLine="720"/>
        <w:rPr>
          <w:rFonts w:ascii="Times New Roman" w:hAnsi="Times New Roman" w:cs="Times New Roman"/>
        </w:rPr>
      </w:pPr>
      <w:r w:rsidRPr="00493508">
        <w:rPr>
          <w:rFonts w:ascii="Times New Roman" w:hAnsi="Times New Roman" w:cs="Times New Roman"/>
        </w:rPr>
        <w:t xml:space="preserve">Angiotensin II (ATII) is a vasoconstrictor that increases blood pressure in adults with septic or other distributive shock (1). The latest expert consensus on the use of angiotensin II for management of distributive shock recognised ATII as a useful treatment to reduce catecholamine requirements in treating vasopressor - resistant septic shock (2). ATII effect on microcirculation is only a hypothesis and was never compared in clinical trials. The aim of this study was to evaluate microcirculation in distributive septic shock patients, while using ATII as a second vasopressor. </w:t>
      </w:r>
    </w:p>
    <w:p w14:paraId="77F51AA7" w14:textId="77777777" w:rsidR="00A1352A" w:rsidRPr="00493508" w:rsidRDefault="00A1352A">
      <w:pPr>
        <w:rPr>
          <w:rFonts w:ascii="Times New Roman" w:hAnsi="Times New Roman" w:cs="Times New Roman"/>
        </w:rPr>
      </w:pPr>
    </w:p>
    <w:p w14:paraId="110C83D0" w14:textId="77777777" w:rsidR="00A1352A" w:rsidRPr="00493508" w:rsidRDefault="00000000">
      <w:pPr>
        <w:rPr>
          <w:rFonts w:ascii="Times New Roman" w:hAnsi="Times New Roman" w:cs="Times New Roman"/>
          <w:b/>
        </w:rPr>
      </w:pPr>
      <w:r w:rsidRPr="00493508">
        <w:rPr>
          <w:rFonts w:ascii="Times New Roman" w:hAnsi="Times New Roman" w:cs="Times New Roman"/>
          <w:b/>
        </w:rPr>
        <w:t>Methods</w:t>
      </w:r>
    </w:p>
    <w:p w14:paraId="282981E1" w14:textId="77777777" w:rsidR="00A1352A" w:rsidRPr="00493508" w:rsidRDefault="00000000">
      <w:pPr>
        <w:rPr>
          <w:rFonts w:ascii="Times New Roman" w:hAnsi="Times New Roman" w:cs="Times New Roman"/>
        </w:rPr>
      </w:pPr>
      <w:r w:rsidRPr="00493508">
        <w:rPr>
          <w:rFonts w:ascii="Times New Roman" w:hAnsi="Times New Roman" w:cs="Times New Roman"/>
        </w:rPr>
        <w:tab/>
        <w:t xml:space="preserve">Patients hospitalised in the Intensive Care Unit of the Hospital of Lithuanian University of Health Sciences Kaunas Clinics were evaluated. The main inclusion criteria </w:t>
      </w:r>
      <w:proofErr w:type="gramStart"/>
      <w:r w:rsidRPr="00493508">
        <w:rPr>
          <w:rFonts w:ascii="Times New Roman" w:hAnsi="Times New Roman" w:cs="Times New Roman"/>
        </w:rPr>
        <w:t>was</w:t>
      </w:r>
      <w:proofErr w:type="gramEnd"/>
      <w:r w:rsidRPr="00493508">
        <w:rPr>
          <w:rFonts w:ascii="Times New Roman" w:hAnsi="Times New Roman" w:cs="Times New Roman"/>
        </w:rPr>
        <w:t xml:space="preserve"> septic distributive shock with the dose of noradrenaline higher than 0,2 mcg/kg/min and the need of a second vasopressor to maintain mean arterial pressure (MAP). We used a PiCCO catheter for invasive hemodynamic monitoring. The study took 12 hours. Primary endpoint was to compare microcirculation for patients with septic distributive shock. Measuring points were before study, 1 hour study and 12 hours after study. The aim was to compare the differences of microcirculation during time. We analysed microcirculation using Automatic Vascular Analysis software 3.2. Flow characteristics of the microvasculature are quantified using the microcirculatory flow index (MFI) according to the recommendations from the consensus on microcirculatory imaging by De Backer et al. (3). This index is calculated after the images are divided into four quadrants, and the predominant type of flow are estimated in vessels smaller than 25 </w:t>
      </w:r>
      <w:proofErr w:type="spellStart"/>
      <w:r w:rsidRPr="00493508">
        <w:rPr>
          <w:rFonts w:ascii="Times New Roman" w:hAnsi="Times New Roman" w:cs="Times New Roman"/>
        </w:rPr>
        <w:t>μm</w:t>
      </w:r>
      <w:proofErr w:type="spellEnd"/>
      <w:r w:rsidRPr="00493508">
        <w:rPr>
          <w:rFonts w:ascii="Times New Roman" w:hAnsi="Times New Roman" w:cs="Times New Roman"/>
        </w:rPr>
        <w:t xml:space="preserve"> by the operator. The final MFI score is a value obtained from the average score of the four areas. </w:t>
      </w:r>
    </w:p>
    <w:p w14:paraId="5B685ADF" w14:textId="77777777" w:rsidR="00A1352A" w:rsidRPr="00493508" w:rsidRDefault="00A1352A">
      <w:pPr>
        <w:rPr>
          <w:rFonts w:ascii="Times New Roman" w:hAnsi="Times New Roman" w:cs="Times New Roman"/>
        </w:rPr>
      </w:pPr>
    </w:p>
    <w:p w14:paraId="4D72F773" w14:textId="77777777" w:rsidR="00A1352A" w:rsidRPr="00493508" w:rsidRDefault="00000000">
      <w:pPr>
        <w:rPr>
          <w:rFonts w:ascii="Times New Roman" w:hAnsi="Times New Roman" w:cs="Times New Roman"/>
          <w:b/>
        </w:rPr>
      </w:pPr>
      <w:r w:rsidRPr="00493508">
        <w:rPr>
          <w:rFonts w:ascii="Times New Roman" w:hAnsi="Times New Roman" w:cs="Times New Roman"/>
          <w:b/>
        </w:rPr>
        <w:t>Results</w:t>
      </w:r>
    </w:p>
    <w:p w14:paraId="4E8BD9D5" w14:textId="77777777" w:rsidR="00A1352A" w:rsidRPr="00493508" w:rsidRDefault="00000000">
      <w:pPr>
        <w:rPr>
          <w:rFonts w:ascii="Times New Roman" w:hAnsi="Times New Roman" w:cs="Times New Roman"/>
        </w:rPr>
      </w:pPr>
      <w:r w:rsidRPr="00493508">
        <w:rPr>
          <w:rFonts w:ascii="Times New Roman" w:hAnsi="Times New Roman" w:cs="Times New Roman"/>
          <w:b/>
        </w:rPr>
        <w:tab/>
      </w:r>
      <w:r w:rsidRPr="00493508">
        <w:rPr>
          <w:rFonts w:ascii="Times New Roman" w:hAnsi="Times New Roman" w:cs="Times New Roman"/>
        </w:rPr>
        <w:t xml:space="preserve">We present primary results of 6 patients. Table presents the MFI in every measuring point. </w:t>
      </w:r>
    </w:p>
    <w:p w14:paraId="66309F29" w14:textId="107CC8AF" w:rsidR="00A1352A" w:rsidRPr="00493508" w:rsidRDefault="00A1352A">
      <w:pPr>
        <w:rPr>
          <w:rFonts w:ascii="Times New Roman" w:hAnsi="Times New Roman" w:cs="Times New Roman"/>
        </w:rPr>
      </w:pPr>
    </w:p>
    <w:p w14:paraId="1E2B955A" w14:textId="77777777" w:rsidR="001C1942" w:rsidRPr="00493508" w:rsidRDefault="001C1942">
      <w:pPr>
        <w:rPr>
          <w:rFonts w:ascii="Times New Roman" w:hAnsi="Times New Roman" w:cs="Times New Roman"/>
        </w:rPr>
      </w:pPr>
    </w:p>
    <w:tbl>
      <w:tblPr>
        <w:tblStyle w:val="a"/>
        <w:tblW w:w="8264" w:type="dxa"/>
        <w:tblLayout w:type="fixed"/>
        <w:tblLook w:val="0400" w:firstRow="0" w:lastRow="0" w:firstColumn="0" w:lastColumn="0" w:noHBand="0" w:noVBand="1"/>
      </w:tblPr>
      <w:tblGrid>
        <w:gridCol w:w="1178"/>
        <w:gridCol w:w="851"/>
        <w:gridCol w:w="850"/>
        <w:gridCol w:w="1944"/>
        <w:gridCol w:w="1258"/>
        <w:gridCol w:w="980"/>
        <w:gridCol w:w="1203"/>
      </w:tblGrid>
      <w:tr w:rsidR="00493508" w:rsidRPr="00493508" w14:paraId="18D2ED19" w14:textId="77777777">
        <w:trPr>
          <w:trHeight w:val="315"/>
        </w:trPr>
        <w:tc>
          <w:tcPr>
            <w:tcW w:w="1179" w:type="dxa"/>
            <w:tcBorders>
              <w:top w:val="single" w:sz="6" w:space="0" w:color="000000"/>
              <w:left w:val="single" w:sz="6" w:space="0" w:color="000000"/>
              <w:bottom w:val="single" w:sz="6" w:space="0" w:color="000000"/>
              <w:right w:val="single" w:sz="6" w:space="0" w:color="000000"/>
            </w:tcBorders>
            <w:shd w:val="clear" w:color="auto" w:fill="CCCCCC"/>
            <w:tcMar>
              <w:top w:w="30" w:type="dxa"/>
              <w:left w:w="45" w:type="dxa"/>
              <w:bottom w:w="30" w:type="dxa"/>
              <w:right w:w="45" w:type="dxa"/>
            </w:tcMar>
            <w:vAlign w:val="bottom"/>
          </w:tcPr>
          <w:p w14:paraId="7256DF7A" w14:textId="77777777" w:rsidR="00A1352A" w:rsidRPr="00493508" w:rsidRDefault="00000000">
            <w:pPr>
              <w:rPr>
                <w:rFonts w:ascii="Times New Roman" w:eastAsia="Arial" w:hAnsi="Times New Roman" w:cs="Times New Roman"/>
                <w:b/>
              </w:rPr>
            </w:pPr>
            <w:r w:rsidRPr="00493508">
              <w:rPr>
                <w:rFonts w:ascii="Times New Roman" w:eastAsia="Arial" w:hAnsi="Times New Roman" w:cs="Times New Roman"/>
                <w:b/>
              </w:rPr>
              <w:t>Case Number</w:t>
            </w:r>
          </w:p>
        </w:tc>
        <w:tc>
          <w:tcPr>
            <w:tcW w:w="851" w:type="dxa"/>
            <w:tcBorders>
              <w:top w:val="single" w:sz="6" w:space="0" w:color="000000"/>
              <w:left w:val="single" w:sz="6" w:space="0" w:color="CCCCCC"/>
              <w:bottom w:val="single" w:sz="18" w:space="0" w:color="000000"/>
              <w:right w:val="single" w:sz="18" w:space="0" w:color="000000"/>
            </w:tcBorders>
            <w:shd w:val="clear" w:color="auto" w:fill="CCCCCC"/>
            <w:tcMar>
              <w:top w:w="30" w:type="dxa"/>
              <w:left w:w="45" w:type="dxa"/>
              <w:bottom w:w="30" w:type="dxa"/>
              <w:right w:w="45" w:type="dxa"/>
            </w:tcMar>
            <w:vAlign w:val="bottom"/>
          </w:tcPr>
          <w:p w14:paraId="09C847A1" w14:textId="77777777" w:rsidR="00A1352A" w:rsidRPr="00493508" w:rsidRDefault="00000000">
            <w:pPr>
              <w:jc w:val="center"/>
              <w:rPr>
                <w:rFonts w:ascii="Times New Roman" w:eastAsia="Arial" w:hAnsi="Times New Roman" w:cs="Times New Roman"/>
                <w:b/>
              </w:rPr>
            </w:pPr>
            <w:r w:rsidRPr="00493508">
              <w:rPr>
                <w:rFonts w:ascii="Times New Roman" w:eastAsia="Arial" w:hAnsi="Times New Roman" w:cs="Times New Roman"/>
                <w:b/>
              </w:rPr>
              <w:t>1</w:t>
            </w:r>
          </w:p>
        </w:tc>
        <w:tc>
          <w:tcPr>
            <w:tcW w:w="850" w:type="dxa"/>
            <w:tcBorders>
              <w:top w:val="single" w:sz="6" w:space="0" w:color="000000"/>
              <w:left w:val="single" w:sz="6" w:space="0" w:color="CCCCCC"/>
              <w:bottom w:val="single" w:sz="18" w:space="0" w:color="000000"/>
              <w:right w:val="single" w:sz="18" w:space="0" w:color="000000"/>
            </w:tcBorders>
            <w:shd w:val="clear" w:color="auto" w:fill="CCCCCC"/>
            <w:tcMar>
              <w:top w:w="30" w:type="dxa"/>
              <w:left w:w="45" w:type="dxa"/>
              <w:bottom w:w="30" w:type="dxa"/>
              <w:right w:w="45" w:type="dxa"/>
            </w:tcMar>
            <w:vAlign w:val="bottom"/>
          </w:tcPr>
          <w:p w14:paraId="6370AC26" w14:textId="77777777" w:rsidR="00A1352A" w:rsidRPr="00493508" w:rsidRDefault="00000000">
            <w:pPr>
              <w:jc w:val="center"/>
              <w:rPr>
                <w:rFonts w:ascii="Times New Roman" w:eastAsia="Arial" w:hAnsi="Times New Roman" w:cs="Times New Roman"/>
                <w:b/>
              </w:rPr>
            </w:pPr>
            <w:r w:rsidRPr="00493508">
              <w:rPr>
                <w:rFonts w:ascii="Times New Roman" w:eastAsia="Arial" w:hAnsi="Times New Roman" w:cs="Times New Roman"/>
                <w:b/>
              </w:rPr>
              <w:t>2</w:t>
            </w:r>
          </w:p>
        </w:tc>
        <w:tc>
          <w:tcPr>
            <w:tcW w:w="1944" w:type="dxa"/>
            <w:tcBorders>
              <w:top w:val="single" w:sz="6" w:space="0" w:color="000000"/>
              <w:left w:val="single" w:sz="6" w:space="0" w:color="CCCCCC"/>
              <w:bottom w:val="single" w:sz="18" w:space="0" w:color="000000"/>
              <w:right w:val="single" w:sz="18" w:space="0" w:color="000000"/>
            </w:tcBorders>
            <w:shd w:val="clear" w:color="auto" w:fill="CCCCCC"/>
            <w:tcMar>
              <w:top w:w="30" w:type="dxa"/>
              <w:left w:w="45" w:type="dxa"/>
              <w:bottom w:w="30" w:type="dxa"/>
              <w:right w:w="45" w:type="dxa"/>
            </w:tcMar>
            <w:vAlign w:val="bottom"/>
          </w:tcPr>
          <w:p w14:paraId="748924A3" w14:textId="77777777" w:rsidR="00A1352A" w:rsidRPr="00493508" w:rsidRDefault="00000000">
            <w:pPr>
              <w:jc w:val="center"/>
              <w:rPr>
                <w:rFonts w:ascii="Times New Roman" w:eastAsia="Arial" w:hAnsi="Times New Roman" w:cs="Times New Roman"/>
                <w:b/>
              </w:rPr>
            </w:pPr>
            <w:r w:rsidRPr="00493508">
              <w:rPr>
                <w:rFonts w:ascii="Times New Roman" w:eastAsia="Arial" w:hAnsi="Times New Roman" w:cs="Times New Roman"/>
                <w:b/>
              </w:rPr>
              <w:t>3</w:t>
            </w:r>
          </w:p>
        </w:tc>
        <w:tc>
          <w:tcPr>
            <w:tcW w:w="1258" w:type="dxa"/>
            <w:tcBorders>
              <w:top w:val="single" w:sz="6" w:space="0" w:color="000000"/>
              <w:left w:val="single" w:sz="6" w:space="0" w:color="CCCCCC"/>
              <w:bottom w:val="single" w:sz="18" w:space="0" w:color="000000"/>
              <w:right w:val="single" w:sz="18" w:space="0" w:color="000000"/>
            </w:tcBorders>
            <w:shd w:val="clear" w:color="auto" w:fill="CCCCCC"/>
            <w:tcMar>
              <w:top w:w="30" w:type="dxa"/>
              <w:left w:w="45" w:type="dxa"/>
              <w:bottom w:w="30" w:type="dxa"/>
              <w:right w:w="45" w:type="dxa"/>
            </w:tcMar>
            <w:vAlign w:val="bottom"/>
          </w:tcPr>
          <w:p w14:paraId="4C4F8490" w14:textId="77777777" w:rsidR="00A1352A" w:rsidRPr="00493508" w:rsidRDefault="00000000">
            <w:pPr>
              <w:jc w:val="center"/>
              <w:rPr>
                <w:rFonts w:ascii="Times New Roman" w:eastAsia="Arial" w:hAnsi="Times New Roman" w:cs="Times New Roman"/>
                <w:b/>
              </w:rPr>
            </w:pPr>
            <w:r w:rsidRPr="00493508">
              <w:rPr>
                <w:rFonts w:ascii="Times New Roman" w:eastAsia="Arial" w:hAnsi="Times New Roman" w:cs="Times New Roman"/>
                <w:b/>
              </w:rPr>
              <w:t>4</w:t>
            </w:r>
          </w:p>
        </w:tc>
        <w:tc>
          <w:tcPr>
            <w:tcW w:w="980" w:type="dxa"/>
            <w:tcBorders>
              <w:top w:val="single" w:sz="6" w:space="0" w:color="000000"/>
              <w:left w:val="single" w:sz="6" w:space="0" w:color="CCCCCC"/>
              <w:bottom w:val="single" w:sz="18" w:space="0" w:color="000000"/>
              <w:right w:val="single" w:sz="18" w:space="0" w:color="000000"/>
            </w:tcBorders>
            <w:shd w:val="clear" w:color="auto" w:fill="CCCCCC"/>
            <w:tcMar>
              <w:top w:w="30" w:type="dxa"/>
              <w:left w:w="45" w:type="dxa"/>
              <w:bottom w:w="30" w:type="dxa"/>
              <w:right w:w="45" w:type="dxa"/>
            </w:tcMar>
            <w:vAlign w:val="bottom"/>
          </w:tcPr>
          <w:p w14:paraId="219D7230" w14:textId="77777777" w:rsidR="00A1352A" w:rsidRPr="00493508" w:rsidRDefault="00000000">
            <w:pPr>
              <w:jc w:val="center"/>
              <w:rPr>
                <w:rFonts w:ascii="Times New Roman" w:eastAsia="Arial" w:hAnsi="Times New Roman" w:cs="Times New Roman"/>
                <w:b/>
              </w:rPr>
            </w:pPr>
            <w:r w:rsidRPr="00493508">
              <w:rPr>
                <w:rFonts w:ascii="Times New Roman" w:eastAsia="Arial" w:hAnsi="Times New Roman" w:cs="Times New Roman"/>
                <w:b/>
              </w:rPr>
              <w:t>5</w:t>
            </w:r>
          </w:p>
        </w:tc>
        <w:tc>
          <w:tcPr>
            <w:tcW w:w="1203" w:type="dxa"/>
            <w:tcBorders>
              <w:top w:val="single" w:sz="6" w:space="0" w:color="CCCCCC"/>
              <w:left w:val="single" w:sz="6" w:space="0" w:color="CCCCCC"/>
              <w:bottom w:val="single" w:sz="18" w:space="0" w:color="000000"/>
              <w:right w:val="single" w:sz="6" w:space="0" w:color="CCCCCC"/>
            </w:tcBorders>
            <w:shd w:val="clear" w:color="auto" w:fill="CCCCCC"/>
            <w:tcMar>
              <w:top w:w="30" w:type="dxa"/>
              <w:left w:w="45" w:type="dxa"/>
              <w:bottom w:w="30" w:type="dxa"/>
              <w:right w:w="45" w:type="dxa"/>
            </w:tcMar>
            <w:vAlign w:val="bottom"/>
          </w:tcPr>
          <w:p w14:paraId="3032682A" w14:textId="77777777" w:rsidR="00A1352A" w:rsidRPr="00493508" w:rsidRDefault="00000000">
            <w:pPr>
              <w:jc w:val="center"/>
              <w:rPr>
                <w:rFonts w:ascii="Times New Roman" w:eastAsia="Arial" w:hAnsi="Times New Roman" w:cs="Times New Roman"/>
                <w:b/>
              </w:rPr>
            </w:pPr>
            <w:r w:rsidRPr="00493508">
              <w:rPr>
                <w:rFonts w:ascii="Times New Roman" w:eastAsia="Arial" w:hAnsi="Times New Roman" w:cs="Times New Roman"/>
                <w:b/>
              </w:rPr>
              <w:t>6</w:t>
            </w:r>
          </w:p>
        </w:tc>
      </w:tr>
      <w:tr w:rsidR="00493508" w:rsidRPr="00493508" w14:paraId="4677136C" w14:textId="77777777">
        <w:trPr>
          <w:trHeight w:val="315"/>
        </w:trPr>
        <w:tc>
          <w:tcPr>
            <w:tcW w:w="1179" w:type="dxa"/>
            <w:tcBorders>
              <w:top w:val="single" w:sz="6" w:space="0" w:color="CCCCCC"/>
              <w:left w:val="single" w:sz="6" w:space="0" w:color="000000"/>
              <w:bottom w:val="single" w:sz="6" w:space="0" w:color="000000"/>
              <w:right w:val="single" w:sz="18" w:space="0" w:color="000000"/>
            </w:tcBorders>
            <w:shd w:val="clear" w:color="auto" w:fill="CCCCCC"/>
            <w:tcMar>
              <w:top w:w="30" w:type="dxa"/>
              <w:left w:w="45" w:type="dxa"/>
              <w:bottom w:w="30" w:type="dxa"/>
              <w:right w:w="45" w:type="dxa"/>
            </w:tcMar>
            <w:vAlign w:val="bottom"/>
          </w:tcPr>
          <w:p w14:paraId="6EDEA9C0" w14:textId="77777777" w:rsidR="00A1352A" w:rsidRPr="00493508" w:rsidRDefault="00000000">
            <w:pPr>
              <w:rPr>
                <w:rFonts w:ascii="Times New Roman" w:eastAsia="Arial" w:hAnsi="Times New Roman" w:cs="Times New Roman"/>
                <w:b/>
              </w:rPr>
            </w:pPr>
            <w:r w:rsidRPr="00493508">
              <w:rPr>
                <w:rFonts w:ascii="Times New Roman" w:eastAsia="Arial" w:hAnsi="Times New Roman" w:cs="Times New Roman"/>
                <w:b/>
              </w:rPr>
              <w:t>0 hour</w:t>
            </w:r>
          </w:p>
        </w:tc>
        <w:tc>
          <w:tcPr>
            <w:tcW w:w="851"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6F232A80"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2,75</w:t>
            </w:r>
          </w:p>
        </w:tc>
        <w:tc>
          <w:tcPr>
            <w:tcW w:w="850"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3322652A"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2,75</w:t>
            </w:r>
          </w:p>
        </w:tc>
        <w:tc>
          <w:tcPr>
            <w:tcW w:w="1944"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498FCF0E"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2,5</w:t>
            </w:r>
          </w:p>
        </w:tc>
        <w:tc>
          <w:tcPr>
            <w:tcW w:w="1258"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2D071AE9"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2,5</w:t>
            </w:r>
          </w:p>
        </w:tc>
        <w:tc>
          <w:tcPr>
            <w:tcW w:w="980"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04A039C9"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1,25</w:t>
            </w:r>
          </w:p>
        </w:tc>
        <w:tc>
          <w:tcPr>
            <w:tcW w:w="1203"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11D57F08"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2,0</w:t>
            </w:r>
          </w:p>
        </w:tc>
      </w:tr>
      <w:tr w:rsidR="00493508" w:rsidRPr="00493508" w14:paraId="1084A3F8" w14:textId="77777777">
        <w:trPr>
          <w:trHeight w:val="315"/>
        </w:trPr>
        <w:tc>
          <w:tcPr>
            <w:tcW w:w="1179" w:type="dxa"/>
            <w:tcBorders>
              <w:top w:val="single" w:sz="6" w:space="0" w:color="CCCCCC"/>
              <w:left w:val="single" w:sz="6" w:space="0" w:color="000000"/>
              <w:bottom w:val="single" w:sz="6" w:space="0" w:color="000000"/>
              <w:right w:val="single" w:sz="18" w:space="0" w:color="000000"/>
            </w:tcBorders>
            <w:shd w:val="clear" w:color="auto" w:fill="CCCCCC"/>
            <w:tcMar>
              <w:top w:w="30" w:type="dxa"/>
              <w:left w:w="45" w:type="dxa"/>
              <w:bottom w:w="30" w:type="dxa"/>
              <w:right w:w="45" w:type="dxa"/>
            </w:tcMar>
            <w:vAlign w:val="bottom"/>
          </w:tcPr>
          <w:p w14:paraId="6130F4F1" w14:textId="77777777" w:rsidR="00A1352A" w:rsidRPr="00493508" w:rsidRDefault="00000000">
            <w:pPr>
              <w:rPr>
                <w:rFonts w:ascii="Times New Roman" w:eastAsia="Arial" w:hAnsi="Times New Roman" w:cs="Times New Roman"/>
                <w:b/>
              </w:rPr>
            </w:pPr>
            <w:r w:rsidRPr="00493508">
              <w:rPr>
                <w:rFonts w:ascii="Times New Roman" w:eastAsia="Arial" w:hAnsi="Times New Roman" w:cs="Times New Roman"/>
                <w:b/>
              </w:rPr>
              <w:t>1 hour</w:t>
            </w:r>
          </w:p>
        </w:tc>
        <w:tc>
          <w:tcPr>
            <w:tcW w:w="851"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2E31B22B"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2,0</w:t>
            </w:r>
          </w:p>
        </w:tc>
        <w:tc>
          <w:tcPr>
            <w:tcW w:w="850"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438CF5AF"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w:t>
            </w:r>
          </w:p>
        </w:tc>
        <w:tc>
          <w:tcPr>
            <w:tcW w:w="1944"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11BA2127"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2,5</w:t>
            </w:r>
          </w:p>
        </w:tc>
        <w:tc>
          <w:tcPr>
            <w:tcW w:w="1258" w:type="dxa"/>
            <w:tcBorders>
              <w:top w:val="single" w:sz="6" w:space="0" w:color="CCCCCC"/>
              <w:left w:val="single" w:sz="6" w:space="0" w:color="CCCCCC"/>
              <w:bottom w:val="single" w:sz="6" w:space="0" w:color="000000"/>
              <w:right w:val="single" w:sz="18" w:space="0" w:color="000000"/>
            </w:tcBorders>
            <w:shd w:val="clear" w:color="auto" w:fill="auto"/>
            <w:tcMar>
              <w:top w:w="30" w:type="dxa"/>
              <w:left w:w="45" w:type="dxa"/>
              <w:bottom w:w="30" w:type="dxa"/>
              <w:right w:w="45" w:type="dxa"/>
            </w:tcMar>
            <w:vAlign w:val="bottom"/>
          </w:tcPr>
          <w:p w14:paraId="2C96A232"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2,75</w:t>
            </w:r>
          </w:p>
        </w:tc>
        <w:tc>
          <w:tcPr>
            <w:tcW w:w="980"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29D92784"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2,25</w:t>
            </w:r>
          </w:p>
        </w:tc>
        <w:tc>
          <w:tcPr>
            <w:tcW w:w="1203"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0ACDB425"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2,0</w:t>
            </w:r>
          </w:p>
        </w:tc>
      </w:tr>
      <w:tr w:rsidR="00493508" w:rsidRPr="00493508" w14:paraId="28B5F342" w14:textId="77777777">
        <w:trPr>
          <w:trHeight w:val="315"/>
        </w:trPr>
        <w:tc>
          <w:tcPr>
            <w:tcW w:w="1179" w:type="dxa"/>
            <w:tcBorders>
              <w:top w:val="single" w:sz="6" w:space="0" w:color="CCCCCC"/>
              <w:left w:val="single" w:sz="6" w:space="0" w:color="000000"/>
              <w:bottom w:val="single" w:sz="6" w:space="0" w:color="000000"/>
              <w:right w:val="single" w:sz="18" w:space="0" w:color="000000"/>
            </w:tcBorders>
            <w:shd w:val="clear" w:color="auto" w:fill="CCCCCC"/>
            <w:tcMar>
              <w:top w:w="30" w:type="dxa"/>
              <w:left w:w="45" w:type="dxa"/>
              <w:bottom w:w="30" w:type="dxa"/>
              <w:right w:w="45" w:type="dxa"/>
            </w:tcMar>
            <w:vAlign w:val="bottom"/>
          </w:tcPr>
          <w:p w14:paraId="4B93213B" w14:textId="77777777" w:rsidR="00A1352A" w:rsidRPr="00493508" w:rsidRDefault="00000000">
            <w:pPr>
              <w:rPr>
                <w:rFonts w:ascii="Times New Roman" w:eastAsia="Arial" w:hAnsi="Times New Roman" w:cs="Times New Roman"/>
                <w:b/>
              </w:rPr>
            </w:pPr>
            <w:r w:rsidRPr="00493508">
              <w:rPr>
                <w:rFonts w:ascii="Times New Roman" w:eastAsia="Arial" w:hAnsi="Times New Roman" w:cs="Times New Roman"/>
                <w:b/>
              </w:rPr>
              <w:t>12 hours</w:t>
            </w:r>
          </w:p>
        </w:tc>
        <w:tc>
          <w:tcPr>
            <w:tcW w:w="851"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666EC0DA"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rPr>
              <w:t>-</w:t>
            </w:r>
          </w:p>
        </w:tc>
        <w:tc>
          <w:tcPr>
            <w:tcW w:w="850"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41E96507"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3  </w:t>
            </w:r>
          </w:p>
        </w:tc>
        <w:tc>
          <w:tcPr>
            <w:tcW w:w="1944"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31D5A4B8"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2,75</w:t>
            </w:r>
          </w:p>
        </w:tc>
        <w:tc>
          <w:tcPr>
            <w:tcW w:w="1258"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6C1D0540"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2,75</w:t>
            </w:r>
          </w:p>
        </w:tc>
        <w:tc>
          <w:tcPr>
            <w:tcW w:w="980"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305F635C"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0</w:t>
            </w:r>
          </w:p>
        </w:tc>
        <w:tc>
          <w:tcPr>
            <w:tcW w:w="1203"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tcPr>
          <w:p w14:paraId="567384AE" w14:textId="77777777" w:rsidR="00A1352A" w:rsidRPr="00493508" w:rsidRDefault="00000000">
            <w:pPr>
              <w:jc w:val="center"/>
              <w:rPr>
                <w:rFonts w:ascii="Times New Roman" w:eastAsia="Arial" w:hAnsi="Times New Roman" w:cs="Times New Roman"/>
              </w:rPr>
            </w:pPr>
            <w:r w:rsidRPr="00493508">
              <w:rPr>
                <w:rFonts w:ascii="Times New Roman" w:eastAsia="Arial" w:hAnsi="Times New Roman" w:cs="Times New Roman"/>
                <w:b/>
              </w:rPr>
              <w:t>1,5</w:t>
            </w:r>
          </w:p>
        </w:tc>
      </w:tr>
    </w:tbl>
    <w:p w14:paraId="74B3EA20" w14:textId="77777777" w:rsidR="00A1352A" w:rsidRPr="00493508" w:rsidRDefault="00A1352A">
      <w:pPr>
        <w:rPr>
          <w:rFonts w:ascii="Times New Roman" w:hAnsi="Times New Roman" w:cs="Times New Roman"/>
          <w:b/>
        </w:rPr>
      </w:pPr>
    </w:p>
    <w:p w14:paraId="1BEA5C75" w14:textId="2AC98840" w:rsidR="00A1352A" w:rsidRPr="00493508" w:rsidRDefault="00000000">
      <w:pPr>
        <w:rPr>
          <w:rFonts w:ascii="Times New Roman" w:hAnsi="Times New Roman" w:cs="Times New Roman"/>
          <w:b/>
        </w:rPr>
      </w:pPr>
      <w:r w:rsidRPr="00493508">
        <w:rPr>
          <w:rFonts w:ascii="Times New Roman" w:hAnsi="Times New Roman" w:cs="Times New Roman"/>
          <w:b/>
        </w:rPr>
        <w:t>Conclusion</w:t>
      </w:r>
    </w:p>
    <w:p w14:paraId="08E9B7CB" w14:textId="77777777" w:rsidR="00A1352A" w:rsidRPr="00493508" w:rsidRDefault="00000000" w:rsidP="00DA2640">
      <w:pPr>
        <w:ind w:firstLine="720"/>
        <w:rPr>
          <w:rFonts w:ascii="Times New Roman" w:hAnsi="Times New Roman" w:cs="Times New Roman"/>
          <w:bCs/>
        </w:rPr>
      </w:pPr>
      <w:r w:rsidRPr="00493508">
        <w:rPr>
          <w:rFonts w:ascii="Times New Roman" w:hAnsi="Times New Roman" w:cs="Times New Roman"/>
          <w:bCs/>
        </w:rPr>
        <w:t>The initial findings suggest that ATII may have a variable impact on microcirculation in patients with septic distributive shock. Further analysis is necessary to draw definitive conclusions regarding the therapeutic benefits and microcirculatory effects of ATII in this context.</w:t>
      </w:r>
    </w:p>
    <w:p w14:paraId="093C9E92" w14:textId="77777777" w:rsidR="00A1352A" w:rsidRPr="00493508" w:rsidRDefault="00A1352A">
      <w:pPr>
        <w:rPr>
          <w:rFonts w:ascii="Times New Roman" w:hAnsi="Times New Roman" w:cs="Times New Roman"/>
          <w:b/>
        </w:rPr>
      </w:pPr>
    </w:p>
    <w:p w14:paraId="759C06E0" w14:textId="77777777" w:rsidR="00A1352A" w:rsidRPr="00493508" w:rsidRDefault="00000000">
      <w:pPr>
        <w:rPr>
          <w:rFonts w:ascii="Times New Roman" w:hAnsi="Times New Roman" w:cs="Times New Roman"/>
          <w:b/>
        </w:rPr>
      </w:pPr>
      <w:r w:rsidRPr="00493508">
        <w:rPr>
          <w:rFonts w:ascii="Times New Roman" w:hAnsi="Times New Roman" w:cs="Times New Roman"/>
          <w:b/>
        </w:rPr>
        <w:lastRenderedPageBreak/>
        <w:t>References</w:t>
      </w:r>
    </w:p>
    <w:p w14:paraId="7DC0B648" w14:textId="77777777" w:rsidR="00A1352A" w:rsidRPr="00493508" w:rsidRDefault="00A1352A">
      <w:pPr>
        <w:rPr>
          <w:rFonts w:ascii="Times New Roman" w:hAnsi="Times New Roman" w:cs="Times New Roman"/>
        </w:rPr>
      </w:pPr>
    </w:p>
    <w:p w14:paraId="651DF28C" w14:textId="77777777" w:rsidR="00A1352A" w:rsidRPr="00493508" w:rsidRDefault="00000000">
      <w:pPr>
        <w:numPr>
          <w:ilvl w:val="0"/>
          <w:numId w:val="1"/>
        </w:numPr>
        <w:pBdr>
          <w:top w:val="nil"/>
          <w:left w:val="nil"/>
          <w:bottom w:val="nil"/>
          <w:right w:val="nil"/>
          <w:between w:val="nil"/>
        </w:pBdr>
        <w:rPr>
          <w:rFonts w:ascii="Times New Roman" w:hAnsi="Times New Roman" w:cs="Times New Roman"/>
        </w:rPr>
      </w:pPr>
      <w:proofErr w:type="spellStart"/>
      <w:r w:rsidRPr="00493508">
        <w:rPr>
          <w:rFonts w:ascii="Times New Roman" w:hAnsi="Times New Roman" w:cs="Times New Roman"/>
        </w:rPr>
        <w:t>Giapreza</w:t>
      </w:r>
      <w:proofErr w:type="spellEnd"/>
      <w:r w:rsidRPr="00493508">
        <w:rPr>
          <w:rFonts w:ascii="Times New Roman" w:hAnsi="Times New Roman" w:cs="Times New Roman"/>
        </w:rPr>
        <w:t>, product information.   https://www.ema.europa.eu/en/medicines/human/EPAR/giapreza</w:t>
      </w:r>
    </w:p>
    <w:p w14:paraId="48EED195" w14:textId="77777777" w:rsidR="00A1352A" w:rsidRPr="00493508" w:rsidRDefault="00000000">
      <w:pPr>
        <w:numPr>
          <w:ilvl w:val="0"/>
          <w:numId w:val="1"/>
        </w:numPr>
        <w:pBdr>
          <w:top w:val="nil"/>
          <w:left w:val="nil"/>
          <w:bottom w:val="nil"/>
          <w:right w:val="nil"/>
          <w:between w:val="nil"/>
        </w:pBdr>
        <w:rPr>
          <w:rFonts w:ascii="Times New Roman" w:hAnsi="Times New Roman" w:cs="Times New Roman"/>
        </w:rPr>
      </w:pPr>
      <w:r w:rsidRPr="00493508">
        <w:rPr>
          <w:rFonts w:ascii="Times New Roman" w:hAnsi="Times New Roman" w:cs="Times New Roman"/>
        </w:rPr>
        <w:t xml:space="preserve">Landoni, G., </w:t>
      </w:r>
      <w:proofErr w:type="spellStart"/>
      <w:r w:rsidRPr="00493508">
        <w:rPr>
          <w:rFonts w:ascii="Times New Roman" w:hAnsi="Times New Roman" w:cs="Times New Roman"/>
        </w:rPr>
        <w:t>Cortegiani</w:t>
      </w:r>
      <w:proofErr w:type="spellEnd"/>
      <w:r w:rsidRPr="00493508">
        <w:rPr>
          <w:rFonts w:ascii="Times New Roman" w:hAnsi="Times New Roman" w:cs="Times New Roman"/>
        </w:rPr>
        <w:t>, A., Bignami, E. </w:t>
      </w:r>
      <w:r w:rsidRPr="00493508">
        <w:rPr>
          <w:rFonts w:ascii="Times New Roman" w:hAnsi="Times New Roman" w:cs="Times New Roman"/>
          <w:i/>
        </w:rPr>
        <w:t>et al.</w:t>
      </w:r>
      <w:r w:rsidRPr="00493508">
        <w:rPr>
          <w:rFonts w:ascii="Times New Roman" w:hAnsi="Times New Roman" w:cs="Times New Roman"/>
        </w:rPr>
        <w:t> The use of angiotensin II for the management of distributive shock: expert consensus statements. </w:t>
      </w:r>
      <w:r w:rsidRPr="00493508">
        <w:rPr>
          <w:rFonts w:ascii="Times New Roman" w:hAnsi="Times New Roman" w:cs="Times New Roman"/>
          <w:i/>
        </w:rPr>
        <w:t xml:space="preserve">J </w:t>
      </w:r>
      <w:proofErr w:type="spellStart"/>
      <w:r w:rsidRPr="00493508">
        <w:rPr>
          <w:rFonts w:ascii="Times New Roman" w:hAnsi="Times New Roman" w:cs="Times New Roman"/>
          <w:i/>
        </w:rPr>
        <w:t>Anesth</w:t>
      </w:r>
      <w:proofErr w:type="spellEnd"/>
      <w:r w:rsidRPr="00493508">
        <w:rPr>
          <w:rFonts w:ascii="Times New Roman" w:hAnsi="Times New Roman" w:cs="Times New Roman"/>
          <w:i/>
        </w:rPr>
        <w:t xml:space="preserve"> </w:t>
      </w:r>
      <w:proofErr w:type="spellStart"/>
      <w:r w:rsidRPr="00493508">
        <w:rPr>
          <w:rFonts w:ascii="Times New Roman" w:hAnsi="Times New Roman" w:cs="Times New Roman"/>
          <w:i/>
        </w:rPr>
        <w:t>Analg</w:t>
      </w:r>
      <w:proofErr w:type="spellEnd"/>
      <w:r w:rsidRPr="00493508">
        <w:rPr>
          <w:rFonts w:ascii="Times New Roman" w:hAnsi="Times New Roman" w:cs="Times New Roman"/>
          <w:i/>
        </w:rPr>
        <w:t xml:space="preserve"> Crit Care</w:t>
      </w:r>
      <w:r w:rsidRPr="00493508">
        <w:rPr>
          <w:rFonts w:ascii="Times New Roman" w:hAnsi="Times New Roman" w:cs="Times New Roman"/>
        </w:rPr>
        <w:t> </w:t>
      </w:r>
      <w:r w:rsidRPr="00493508">
        <w:rPr>
          <w:rFonts w:ascii="Times New Roman" w:hAnsi="Times New Roman" w:cs="Times New Roman"/>
          <w:b/>
        </w:rPr>
        <w:t>4</w:t>
      </w:r>
      <w:r w:rsidRPr="00493508">
        <w:rPr>
          <w:rFonts w:ascii="Times New Roman" w:hAnsi="Times New Roman" w:cs="Times New Roman"/>
        </w:rPr>
        <w:t xml:space="preserve">, 56 (2024). </w:t>
      </w:r>
      <w:hyperlink r:id="rId6">
        <w:r w:rsidR="00A1352A" w:rsidRPr="00493508">
          <w:rPr>
            <w:rFonts w:ascii="Times New Roman" w:hAnsi="Times New Roman" w:cs="Times New Roman"/>
            <w:u w:val="single"/>
          </w:rPr>
          <w:t>https://doi.org/10.1186/s44158-024-00186-y</w:t>
        </w:r>
      </w:hyperlink>
    </w:p>
    <w:p w14:paraId="0CEB0A1D" w14:textId="77777777" w:rsidR="00A1352A" w:rsidRPr="00493508" w:rsidRDefault="00000000">
      <w:pPr>
        <w:numPr>
          <w:ilvl w:val="0"/>
          <w:numId w:val="1"/>
        </w:numPr>
        <w:pBdr>
          <w:top w:val="nil"/>
          <w:left w:val="nil"/>
          <w:bottom w:val="nil"/>
          <w:right w:val="nil"/>
          <w:between w:val="nil"/>
        </w:pBdr>
        <w:rPr>
          <w:rFonts w:ascii="Times New Roman" w:hAnsi="Times New Roman" w:cs="Times New Roman"/>
        </w:rPr>
      </w:pPr>
      <w:r w:rsidRPr="00493508">
        <w:rPr>
          <w:rFonts w:ascii="Times New Roman" w:hAnsi="Times New Roman" w:cs="Times New Roman"/>
          <w:highlight w:val="white"/>
        </w:rPr>
        <w:t xml:space="preserve">De Backer D, Hollenberg S, Boerma C, Goedhart P, </w:t>
      </w:r>
      <w:proofErr w:type="spellStart"/>
      <w:r w:rsidRPr="00493508">
        <w:rPr>
          <w:rFonts w:ascii="Times New Roman" w:hAnsi="Times New Roman" w:cs="Times New Roman"/>
          <w:highlight w:val="white"/>
        </w:rPr>
        <w:t>Büchele</w:t>
      </w:r>
      <w:proofErr w:type="spellEnd"/>
      <w:r w:rsidRPr="00493508">
        <w:rPr>
          <w:rFonts w:ascii="Times New Roman" w:hAnsi="Times New Roman" w:cs="Times New Roman"/>
          <w:highlight w:val="white"/>
        </w:rPr>
        <w:t xml:space="preserve"> G, Ospina-Tascon G, Dobbe I, Ince C. How to evaluate the microcirculation: report of a round table conference. Crit Care. 2007;11(5</w:t>
      </w:r>
      <w:proofErr w:type="gramStart"/>
      <w:r w:rsidRPr="00493508">
        <w:rPr>
          <w:rFonts w:ascii="Times New Roman" w:hAnsi="Times New Roman" w:cs="Times New Roman"/>
          <w:highlight w:val="white"/>
        </w:rPr>
        <w:t>):R</w:t>
      </w:r>
      <w:proofErr w:type="gramEnd"/>
      <w:r w:rsidRPr="00493508">
        <w:rPr>
          <w:rFonts w:ascii="Times New Roman" w:hAnsi="Times New Roman" w:cs="Times New Roman"/>
          <w:highlight w:val="white"/>
        </w:rPr>
        <w:t xml:space="preserve">101. </w:t>
      </w:r>
      <w:proofErr w:type="spellStart"/>
      <w:r w:rsidRPr="00493508">
        <w:rPr>
          <w:rFonts w:ascii="Times New Roman" w:hAnsi="Times New Roman" w:cs="Times New Roman"/>
          <w:highlight w:val="white"/>
        </w:rPr>
        <w:t>doi</w:t>
      </w:r>
      <w:proofErr w:type="spellEnd"/>
      <w:r w:rsidRPr="00493508">
        <w:rPr>
          <w:rFonts w:ascii="Times New Roman" w:hAnsi="Times New Roman" w:cs="Times New Roman"/>
          <w:highlight w:val="white"/>
        </w:rPr>
        <w:t>: 10.1186/cc6118. PMID: 17845716; PMCID: PMC2556744.</w:t>
      </w:r>
    </w:p>
    <w:p w14:paraId="345C5D0C" w14:textId="77777777" w:rsidR="00493508" w:rsidRPr="00493508" w:rsidRDefault="00493508" w:rsidP="00493508">
      <w:pPr>
        <w:pBdr>
          <w:top w:val="nil"/>
          <w:left w:val="nil"/>
          <w:bottom w:val="nil"/>
          <w:right w:val="nil"/>
          <w:between w:val="nil"/>
        </w:pBdr>
        <w:rPr>
          <w:rFonts w:ascii="Times New Roman" w:hAnsi="Times New Roman" w:cs="Times New Roman"/>
        </w:rPr>
      </w:pPr>
    </w:p>
    <w:p w14:paraId="4ABD5A45" w14:textId="5D3CE959" w:rsidR="00493508" w:rsidRPr="00493508" w:rsidRDefault="00493508">
      <w:pPr>
        <w:rPr>
          <w:rFonts w:ascii="Times New Roman" w:hAnsi="Times New Roman" w:cs="Times New Roman"/>
          <w:highlight w:val="white"/>
        </w:rPr>
      </w:pPr>
      <w:r w:rsidRPr="00493508">
        <w:rPr>
          <w:rFonts w:ascii="Times New Roman" w:hAnsi="Times New Roman" w:cs="Times New Roman"/>
          <w:highlight w:val="white"/>
        </w:rPr>
        <w:br w:type="page"/>
      </w:r>
    </w:p>
    <w:p w14:paraId="0057F6DB" w14:textId="65D42752" w:rsidR="00493508" w:rsidRPr="00493508" w:rsidRDefault="00493508" w:rsidP="00493508">
      <w:pPr>
        <w:pBdr>
          <w:top w:val="nil"/>
          <w:left w:val="nil"/>
          <w:bottom w:val="nil"/>
          <w:right w:val="nil"/>
          <w:between w:val="nil"/>
        </w:pBdr>
        <w:jc w:val="center"/>
        <w:rPr>
          <w:rFonts w:ascii="Times New Roman" w:hAnsi="Times New Roman" w:cs="Times New Roman"/>
          <w:b/>
          <w:bCs/>
        </w:rPr>
      </w:pPr>
      <w:r w:rsidRPr="00493508">
        <w:rPr>
          <w:rFonts w:ascii="Times New Roman" w:hAnsi="Times New Roman" w:cs="Times New Roman"/>
          <w:b/>
          <w:bCs/>
        </w:rPr>
        <w:lastRenderedPageBreak/>
        <w:t xml:space="preserve">EFFECT OF </w:t>
      </w:r>
      <w:r w:rsidRPr="00493508">
        <w:rPr>
          <w:rFonts w:ascii="Times New Roman" w:hAnsi="Times New Roman" w:cs="Times New Roman"/>
          <w:b/>
          <w:bCs/>
          <w:lang w:val="lt-LT"/>
        </w:rPr>
        <w:t>R</w:t>
      </w:r>
      <w:r w:rsidRPr="00493508">
        <w:rPr>
          <w:rFonts w:ascii="Times New Roman" w:hAnsi="Times New Roman" w:cs="Times New Roman"/>
          <w:b/>
          <w:bCs/>
        </w:rPr>
        <w:t xml:space="preserve">EMOTE </w:t>
      </w:r>
      <w:r w:rsidRPr="00493508">
        <w:rPr>
          <w:rFonts w:ascii="Times New Roman" w:hAnsi="Times New Roman" w:cs="Times New Roman"/>
          <w:b/>
          <w:bCs/>
          <w:lang w:val="lt-LT"/>
        </w:rPr>
        <w:t>I</w:t>
      </w:r>
      <w:r w:rsidRPr="00493508">
        <w:rPr>
          <w:rFonts w:ascii="Times New Roman" w:hAnsi="Times New Roman" w:cs="Times New Roman"/>
          <w:b/>
          <w:bCs/>
        </w:rPr>
        <w:t xml:space="preserve">SCHEMIC </w:t>
      </w:r>
      <w:r w:rsidRPr="00493508">
        <w:rPr>
          <w:rFonts w:ascii="Times New Roman" w:hAnsi="Times New Roman" w:cs="Times New Roman"/>
          <w:b/>
          <w:bCs/>
          <w:lang w:val="lt-LT"/>
        </w:rPr>
        <w:t>C</w:t>
      </w:r>
      <w:r w:rsidRPr="00493508">
        <w:rPr>
          <w:rFonts w:ascii="Times New Roman" w:hAnsi="Times New Roman" w:cs="Times New Roman"/>
          <w:b/>
          <w:bCs/>
        </w:rPr>
        <w:t xml:space="preserve">ONDITIONING ON </w:t>
      </w:r>
      <w:r w:rsidRPr="00493508">
        <w:rPr>
          <w:rFonts w:ascii="Times New Roman" w:hAnsi="Times New Roman" w:cs="Times New Roman"/>
          <w:b/>
          <w:bCs/>
          <w:lang w:val="lt-LT"/>
        </w:rPr>
        <w:t>PERIPHERAL</w:t>
      </w:r>
      <w:r w:rsidRPr="00493508">
        <w:rPr>
          <w:rFonts w:ascii="Times New Roman" w:hAnsi="Times New Roman" w:cs="Times New Roman"/>
          <w:b/>
          <w:bCs/>
        </w:rPr>
        <w:t xml:space="preserve"> </w:t>
      </w:r>
      <w:r w:rsidRPr="00493508">
        <w:rPr>
          <w:rFonts w:ascii="Times New Roman" w:hAnsi="Times New Roman" w:cs="Times New Roman"/>
          <w:b/>
          <w:bCs/>
          <w:lang w:val="lt-LT"/>
        </w:rPr>
        <w:t>P</w:t>
      </w:r>
      <w:r w:rsidRPr="00493508">
        <w:rPr>
          <w:rFonts w:ascii="Times New Roman" w:hAnsi="Times New Roman" w:cs="Times New Roman"/>
          <w:b/>
          <w:bCs/>
        </w:rPr>
        <w:t xml:space="preserve">ERFUSION IN </w:t>
      </w:r>
      <w:r w:rsidRPr="00493508">
        <w:rPr>
          <w:rFonts w:ascii="Times New Roman" w:hAnsi="Times New Roman" w:cs="Times New Roman"/>
          <w:b/>
          <w:bCs/>
          <w:lang w:val="lt-LT"/>
        </w:rPr>
        <w:t>P</w:t>
      </w:r>
      <w:r w:rsidRPr="00493508">
        <w:rPr>
          <w:rFonts w:ascii="Times New Roman" w:hAnsi="Times New Roman" w:cs="Times New Roman"/>
          <w:b/>
          <w:bCs/>
        </w:rPr>
        <w:t xml:space="preserve">ATIENTS </w:t>
      </w:r>
      <w:r w:rsidRPr="00493508">
        <w:rPr>
          <w:rFonts w:ascii="Times New Roman" w:hAnsi="Times New Roman" w:cs="Times New Roman"/>
          <w:b/>
          <w:bCs/>
          <w:lang w:val="lt-LT"/>
        </w:rPr>
        <w:t>F</w:t>
      </w:r>
      <w:r w:rsidRPr="00493508">
        <w:rPr>
          <w:rFonts w:ascii="Times New Roman" w:hAnsi="Times New Roman" w:cs="Times New Roman"/>
          <w:b/>
          <w:bCs/>
        </w:rPr>
        <w:t xml:space="preserve">OLLOWING </w:t>
      </w:r>
      <w:r w:rsidRPr="00493508">
        <w:rPr>
          <w:rFonts w:ascii="Times New Roman" w:hAnsi="Times New Roman" w:cs="Times New Roman"/>
          <w:b/>
          <w:bCs/>
          <w:lang w:val="lt-LT"/>
        </w:rPr>
        <w:t>L</w:t>
      </w:r>
      <w:r w:rsidRPr="00493508">
        <w:rPr>
          <w:rFonts w:ascii="Times New Roman" w:hAnsi="Times New Roman" w:cs="Times New Roman"/>
          <w:b/>
          <w:bCs/>
        </w:rPr>
        <w:t xml:space="preserve">IVER </w:t>
      </w:r>
      <w:r w:rsidRPr="00493508">
        <w:rPr>
          <w:rFonts w:ascii="Times New Roman" w:hAnsi="Times New Roman" w:cs="Times New Roman"/>
          <w:b/>
          <w:bCs/>
          <w:lang w:val="lt-LT"/>
        </w:rPr>
        <w:t>T</w:t>
      </w:r>
      <w:r w:rsidRPr="00493508">
        <w:rPr>
          <w:rFonts w:ascii="Times New Roman" w:hAnsi="Times New Roman" w:cs="Times New Roman"/>
          <w:b/>
          <w:bCs/>
        </w:rPr>
        <w:t>RANSPLANTATION</w:t>
      </w:r>
    </w:p>
    <w:p w14:paraId="49A5D925" w14:textId="77777777" w:rsidR="00493508" w:rsidRPr="00493508" w:rsidRDefault="00493508" w:rsidP="00493508">
      <w:pPr>
        <w:pBdr>
          <w:top w:val="nil"/>
          <w:left w:val="nil"/>
          <w:bottom w:val="nil"/>
          <w:right w:val="nil"/>
          <w:between w:val="nil"/>
        </w:pBdr>
        <w:jc w:val="center"/>
        <w:rPr>
          <w:rFonts w:ascii="Times New Roman" w:hAnsi="Times New Roman" w:cs="Times New Roman"/>
          <w:b/>
          <w:bCs/>
          <w:lang w:val="en-US"/>
        </w:rPr>
      </w:pPr>
    </w:p>
    <w:p w14:paraId="7A883303" w14:textId="77777777" w:rsidR="00493508" w:rsidRPr="00493508" w:rsidRDefault="00493508" w:rsidP="00493508">
      <w:pPr>
        <w:pBdr>
          <w:top w:val="nil"/>
          <w:left w:val="nil"/>
          <w:bottom w:val="nil"/>
          <w:right w:val="nil"/>
          <w:between w:val="nil"/>
        </w:pBdr>
        <w:jc w:val="center"/>
        <w:rPr>
          <w:rFonts w:ascii="Times New Roman" w:hAnsi="Times New Roman" w:cs="Times New Roman"/>
          <w:vertAlign w:val="superscript"/>
          <w:lang w:val="en-US"/>
        </w:rPr>
      </w:pPr>
      <w:r w:rsidRPr="00493508">
        <w:rPr>
          <w:rFonts w:ascii="Times New Roman" w:hAnsi="Times New Roman" w:cs="Times New Roman"/>
          <w:b/>
          <w:bCs/>
          <w:lang w:val="en-US"/>
        </w:rPr>
        <w:t>Dominyka Martin</w:t>
      </w:r>
      <w:proofErr w:type="spellStart"/>
      <w:r w:rsidRPr="00493508">
        <w:rPr>
          <w:rFonts w:ascii="Times New Roman" w:hAnsi="Times New Roman" w:cs="Times New Roman"/>
          <w:b/>
          <w:bCs/>
          <w:lang w:val="lt-LT"/>
        </w:rPr>
        <w:t>ėlytė</w:t>
      </w:r>
      <w:proofErr w:type="spellEnd"/>
      <w:r w:rsidRPr="00493508">
        <w:rPr>
          <w:rFonts w:ascii="Times New Roman" w:hAnsi="Times New Roman" w:cs="Times New Roman"/>
          <w:lang w:val="lt-LT"/>
        </w:rPr>
        <w:t xml:space="preserve">, Andrius </w:t>
      </w:r>
      <w:proofErr w:type="spellStart"/>
      <w:r w:rsidRPr="00493508">
        <w:rPr>
          <w:rFonts w:ascii="Times New Roman" w:hAnsi="Times New Roman" w:cs="Times New Roman"/>
          <w:lang w:val="lt-LT"/>
        </w:rPr>
        <w:t>Pranskūnas</w:t>
      </w:r>
      <w:proofErr w:type="spellEnd"/>
    </w:p>
    <w:p w14:paraId="6173877F" w14:textId="77777777" w:rsidR="00493508" w:rsidRDefault="00493508" w:rsidP="00493508">
      <w:pPr>
        <w:pBdr>
          <w:top w:val="nil"/>
          <w:left w:val="nil"/>
          <w:bottom w:val="nil"/>
          <w:right w:val="nil"/>
          <w:between w:val="nil"/>
        </w:pBdr>
        <w:jc w:val="center"/>
        <w:rPr>
          <w:rFonts w:ascii="Times New Roman" w:hAnsi="Times New Roman" w:cs="Times New Roman"/>
          <w:lang w:val="en-US"/>
        </w:rPr>
      </w:pPr>
      <w:r w:rsidRPr="00493508">
        <w:rPr>
          <w:rFonts w:ascii="Times New Roman" w:hAnsi="Times New Roman" w:cs="Times New Roman"/>
          <w:lang w:val="en-US"/>
        </w:rPr>
        <w:t xml:space="preserve">Department of Intensive care medicine, </w:t>
      </w:r>
    </w:p>
    <w:p w14:paraId="5619E8C2" w14:textId="16F57418" w:rsidR="00493508" w:rsidRPr="00493508" w:rsidRDefault="00493508" w:rsidP="00493508">
      <w:pPr>
        <w:pBdr>
          <w:top w:val="nil"/>
          <w:left w:val="nil"/>
          <w:bottom w:val="nil"/>
          <w:right w:val="nil"/>
          <w:between w:val="nil"/>
        </w:pBdr>
        <w:jc w:val="center"/>
        <w:rPr>
          <w:rFonts w:ascii="Times New Roman" w:hAnsi="Times New Roman" w:cs="Times New Roman"/>
          <w:lang w:val="lt-LT"/>
        </w:rPr>
      </w:pPr>
      <w:r w:rsidRPr="00493508">
        <w:rPr>
          <w:rFonts w:ascii="Times New Roman" w:hAnsi="Times New Roman" w:cs="Times New Roman"/>
          <w:lang w:val="en-US"/>
        </w:rPr>
        <w:t xml:space="preserve">Lithuanian university of health sciences, </w:t>
      </w:r>
      <w:r w:rsidRPr="00493508">
        <w:rPr>
          <w:rFonts w:ascii="Times New Roman" w:hAnsi="Times New Roman" w:cs="Times New Roman"/>
        </w:rPr>
        <w:t>Kaunas, Lithuania</w:t>
      </w:r>
    </w:p>
    <w:p w14:paraId="3B033F41"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p>
    <w:p w14:paraId="069E8638" w14:textId="77777777" w:rsidR="00493508" w:rsidRPr="00493508" w:rsidRDefault="00493508" w:rsidP="00493508">
      <w:pPr>
        <w:pBdr>
          <w:top w:val="nil"/>
          <w:left w:val="nil"/>
          <w:bottom w:val="nil"/>
          <w:right w:val="nil"/>
          <w:between w:val="nil"/>
        </w:pBdr>
        <w:rPr>
          <w:rFonts w:ascii="Times New Roman" w:hAnsi="Times New Roman" w:cs="Times New Roman"/>
          <w:b/>
          <w:bCs/>
          <w:lang w:val="lt-LT"/>
        </w:rPr>
      </w:pPr>
      <w:proofErr w:type="spellStart"/>
      <w:r w:rsidRPr="00493508">
        <w:rPr>
          <w:rFonts w:ascii="Times New Roman" w:hAnsi="Times New Roman" w:cs="Times New Roman"/>
          <w:b/>
          <w:bCs/>
          <w:lang w:val="lt-LT"/>
        </w:rPr>
        <w:t>Introduction</w:t>
      </w:r>
      <w:proofErr w:type="spellEnd"/>
    </w:p>
    <w:p w14:paraId="0A8FD183"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r w:rsidRPr="00493508">
        <w:rPr>
          <w:rFonts w:ascii="Times New Roman" w:hAnsi="Times New Roman" w:cs="Times New Roman"/>
        </w:rPr>
        <w:t>Remote ischemic conditioning (RIC) is a technique that involves brief, controlled episodes of ischemia in a distant organ or limb to protect organs from ischemia-reperfusion injury (1).</w:t>
      </w:r>
      <w:r w:rsidRPr="00493508">
        <w:rPr>
          <w:rFonts w:ascii="Times New Roman" w:hAnsi="Times New Roman" w:cs="Times New Roman"/>
          <w:lang w:val="en-US"/>
        </w:rPr>
        <w:t xml:space="preserve"> Studies showed that changes in peripheral perfusion may be associated with outcomes (2,3). </w:t>
      </w:r>
      <w:r w:rsidRPr="00493508">
        <w:rPr>
          <w:rFonts w:ascii="Times New Roman" w:hAnsi="Times New Roman" w:cs="Times New Roman"/>
        </w:rPr>
        <w:t>There is a lack of studies directly examining changes in tissue perfusion during RIC, particularly in patients after liver transplantation. The aim of our study was to evaluate the impact of RIC on peripheral perfusion index in patients after liver transplantation</w:t>
      </w:r>
      <w:r w:rsidRPr="00493508">
        <w:rPr>
          <w:rFonts w:ascii="Times New Roman" w:hAnsi="Times New Roman" w:cs="Times New Roman"/>
          <w:lang w:val="lt-LT"/>
        </w:rPr>
        <w:t xml:space="preserve">. </w:t>
      </w:r>
    </w:p>
    <w:p w14:paraId="4A6546C9"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p>
    <w:p w14:paraId="2A596FB4" w14:textId="77777777" w:rsidR="00493508" w:rsidRPr="00493508" w:rsidRDefault="00493508" w:rsidP="00493508">
      <w:pPr>
        <w:pBdr>
          <w:top w:val="nil"/>
          <w:left w:val="nil"/>
          <w:bottom w:val="nil"/>
          <w:right w:val="nil"/>
          <w:between w:val="nil"/>
        </w:pBdr>
        <w:rPr>
          <w:rFonts w:ascii="Times New Roman" w:hAnsi="Times New Roman" w:cs="Times New Roman"/>
          <w:b/>
          <w:bCs/>
          <w:lang w:val="en-US"/>
        </w:rPr>
      </w:pPr>
      <w:r w:rsidRPr="00493508">
        <w:rPr>
          <w:rFonts w:ascii="Times New Roman" w:hAnsi="Times New Roman" w:cs="Times New Roman"/>
          <w:b/>
          <w:bCs/>
          <w:lang w:val="en-US"/>
        </w:rPr>
        <w:t xml:space="preserve">Methods </w:t>
      </w:r>
    </w:p>
    <w:p w14:paraId="441F0855"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rPr>
        <w:t xml:space="preserve">The RIC intervention comprised 3 cycles of brachial cuff inflation to 200 mmHg for 5 min followed by deflation to 0 mmHg another 5 min. The procedure took 30 min. Peripheral perfusion index (PI) was measured throughout the RIC procedure on the third or fourth finger of the hand opposite to the one on which the RIC cuff was applied. </w:t>
      </w:r>
      <w:r w:rsidRPr="00493508">
        <w:rPr>
          <w:rFonts w:ascii="Times New Roman" w:hAnsi="Times New Roman" w:cs="Times New Roman"/>
          <w:lang w:val="en-US"/>
        </w:rPr>
        <w:t>Systemic hemodynamic parameters were monitored using PiCCO monitor (Pulsion Medical Systems, Munich, Germany). Data are reported as medians along with the 25th and 75th percentiles.</w:t>
      </w:r>
    </w:p>
    <w:p w14:paraId="758F8AB4"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p>
    <w:p w14:paraId="1EC915D3" w14:textId="77777777" w:rsidR="00493508" w:rsidRPr="00493508" w:rsidRDefault="00493508" w:rsidP="00493508">
      <w:pPr>
        <w:pBdr>
          <w:top w:val="nil"/>
          <w:left w:val="nil"/>
          <w:bottom w:val="nil"/>
          <w:right w:val="nil"/>
          <w:between w:val="nil"/>
        </w:pBdr>
        <w:rPr>
          <w:rFonts w:ascii="Times New Roman" w:hAnsi="Times New Roman" w:cs="Times New Roman"/>
          <w:b/>
          <w:lang w:val="en-US"/>
        </w:rPr>
      </w:pPr>
      <w:r w:rsidRPr="00493508">
        <w:rPr>
          <w:rFonts w:ascii="Times New Roman" w:hAnsi="Times New Roman" w:cs="Times New Roman"/>
          <w:b/>
          <w:lang w:val="en-US"/>
        </w:rPr>
        <w:t>Results</w:t>
      </w:r>
    </w:p>
    <w:p w14:paraId="23571200"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r w:rsidRPr="00493508">
        <w:rPr>
          <w:rFonts w:ascii="Times New Roman" w:hAnsi="Times New Roman" w:cs="Times New Roman"/>
        </w:rPr>
        <w:t>The study enrolled nine patients, comprising four females and five males.</w:t>
      </w:r>
      <w:r w:rsidRPr="00493508">
        <w:rPr>
          <w:rFonts w:ascii="Times New Roman" w:hAnsi="Times New Roman" w:cs="Times New Roman"/>
          <w:lang w:val="en-US"/>
        </w:rPr>
        <w:t xml:space="preserve"> </w:t>
      </w:r>
      <w:r w:rsidRPr="00493508">
        <w:rPr>
          <w:rFonts w:ascii="Times New Roman" w:hAnsi="Times New Roman" w:cs="Times New Roman"/>
        </w:rPr>
        <w:t xml:space="preserve">The study was conducted 12.5 hours after admission to the ICU after liver transplantation. The median SAPS II and SOFA scores were 32 (25–36) and 7 (6–7), respectively. We found a significant increase in PI compared to baseline (12.0(5.5-14.0) vs 9.5(3.7-13) </w:t>
      </w:r>
      <w:r w:rsidRPr="00493508">
        <w:rPr>
          <w:rFonts w:ascii="Times New Roman" w:hAnsi="Times New Roman" w:cs="Times New Roman"/>
          <w:lang w:val="en-US"/>
        </w:rPr>
        <w:t>%, p=0.046)</w:t>
      </w:r>
      <w:r w:rsidRPr="00493508">
        <w:rPr>
          <w:rFonts w:ascii="Times New Roman" w:hAnsi="Times New Roman" w:cs="Times New Roman"/>
        </w:rPr>
        <w:t xml:space="preserve"> during the first inflation</w:t>
      </w:r>
      <w:r w:rsidRPr="00493508">
        <w:rPr>
          <w:rFonts w:ascii="Times New Roman" w:hAnsi="Times New Roman" w:cs="Times New Roman"/>
          <w:lang w:val="en-US"/>
        </w:rPr>
        <w:t xml:space="preserve"> of brachial cuff and the trend of increasing PI during the second inflation. We also found a significant correlation between PI changes induced by the first and second inflations of brachial cuff (r=0.75, p=0.049).</w:t>
      </w:r>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Simultaneously</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we</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observed</w:t>
      </w:r>
      <w:proofErr w:type="spellEnd"/>
      <w:r w:rsidRPr="00493508">
        <w:rPr>
          <w:rFonts w:ascii="Times New Roman" w:hAnsi="Times New Roman" w:cs="Times New Roman"/>
          <w:lang w:val="lt-LT"/>
        </w:rPr>
        <w:t xml:space="preserve"> a </w:t>
      </w:r>
      <w:proofErr w:type="spellStart"/>
      <w:r w:rsidRPr="00493508">
        <w:rPr>
          <w:rFonts w:ascii="Times New Roman" w:hAnsi="Times New Roman" w:cs="Times New Roman"/>
          <w:lang w:val="lt-LT"/>
        </w:rPr>
        <w:t>significant</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increase</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in</w:t>
      </w:r>
      <w:proofErr w:type="spellEnd"/>
      <w:r w:rsidRPr="00493508">
        <w:rPr>
          <w:rFonts w:ascii="Times New Roman" w:hAnsi="Times New Roman" w:cs="Times New Roman"/>
          <w:lang w:val="lt-LT"/>
        </w:rPr>
        <w:t xml:space="preserve"> SVI </w:t>
      </w:r>
      <w:proofErr w:type="spellStart"/>
      <w:r w:rsidRPr="00493508">
        <w:rPr>
          <w:rFonts w:ascii="Times New Roman" w:hAnsi="Times New Roman" w:cs="Times New Roman"/>
          <w:lang w:val="lt-LT"/>
        </w:rPr>
        <w:t>during</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the</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first</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and</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second</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cuff</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inflations</w:t>
      </w:r>
      <w:proofErr w:type="spellEnd"/>
      <w:r w:rsidRPr="00493508">
        <w:rPr>
          <w:rFonts w:ascii="Times New Roman" w:hAnsi="Times New Roman" w:cs="Times New Roman"/>
          <w:lang w:val="lt-LT"/>
        </w:rPr>
        <w:t>.</w:t>
      </w:r>
    </w:p>
    <w:p w14:paraId="5E5A5560"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p>
    <w:p w14:paraId="4A8A39BD" w14:textId="77777777" w:rsidR="00493508" w:rsidRPr="00493508" w:rsidRDefault="00493508" w:rsidP="00493508">
      <w:pPr>
        <w:pBdr>
          <w:top w:val="nil"/>
          <w:left w:val="nil"/>
          <w:bottom w:val="nil"/>
          <w:right w:val="nil"/>
          <w:between w:val="nil"/>
        </w:pBdr>
        <w:rPr>
          <w:rFonts w:ascii="Times New Roman" w:hAnsi="Times New Roman" w:cs="Times New Roman"/>
          <w:b/>
          <w:lang w:val="lt-LT"/>
        </w:rPr>
      </w:pPr>
      <w:proofErr w:type="spellStart"/>
      <w:r w:rsidRPr="00493508">
        <w:rPr>
          <w:rFonts w:ascii="Times New Roman" w:hAnsi="Times New Roman" w:cs="Times New Roman"/>
          <w:b/>
          <w:lang w:val="lt-LT"/>
        </w:rPr>
        <w:t>Conclusions</w:t>
      </w:r>
      <w:proofErr w:type="spellEnd"/>
    </w:p>
    <w:p w14:paraId="33D5D6C9"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r w:rsidRPr="00493508">
        <w:rPr>
          <w:rFonts w:ascii="Times New Roman" w:hAnsi="Times New Roman" w:cs="Times New Roman"/>
        </w:rPr>
        <w:t>RIC may induce changes in the peripheral perfusion index that are of systemic origin.</w:t>
      </w:r>
      <w:r w:rsidRPr="00493508">
        <w:rPr>
          <w:rFonts w:ascii="Times New Roman" w:hAnsi="Times New Roman" w:cs="Times New Roman"/>
          <w:lang w:val="lt-LT"/>
        </w:rPr>
        <w:t xml:space="preserve"> </w:t>
      </w:r>
      <w:r w:rsidRPr="00493508">
        <w:rPr>
          <w:rFonts w:ascii="Times New Roman" w:hAnsi="Times New Roman" w:cs="Times New Roman"/>
        </w:rPr>
        <w:t xml:space="preserve">The most pronounced change was observed during the first inflation of the brachial cuff. </w:t>
      </w:r>
    </w:p>
    <w:p w14:paraId="2D9DAFAB" w14:textId="77777777" w:rsidR="00493508" w:rsidRPr="00493508" w:rsidRDefault="00493508" w:rsidP="00493508">
      <w:pPr>
        <w:pBdr>
          <w:top w:val="nil"/>
          <w:left w:val="nil"/>
          <w:bottom w:val="nil"/>
          <w:right w:val="nil"/>
          <w:between w:val="nil"/>
        </w:pBdr>
        <w:rPr>
          <w:rFonts w:ascii="Times New Roman" w:hAnsi="Times New Roman" w:cs="Times New Roman"/>
        </w:rPr>
      </w:pPr>
      <w:r w:rsidRPr="00493508">
        <w:rPr>
          <w:rFonts w:ascii="Times New Roman" w:hAnsi="Times New Roman" w:cs="Times New Roman"/>
          <w:b/>
          <w:bCs/>
          <w:lang w:val="en-US"/>
        </w:rPr>
        <w:t>Funding</w:t>
      </w:r>
      <w:r w:rsidRPr="00493508">
        <w:rPr>
          <w:rFonts w:ascii="Times New Roman" w:hAnsi="Times New Roman" w:cs="Times New Roman"/>
          <w:lang w:val="en-US"/>
        </w:rPr>
        <w:t xml:space="preserve">: </w:t>
      </w:r>
      <w:r w:rsidRPr="00493508">
        <w:rPr>
          <w:rFonts w:ascii="Times New Roman" w:hAnsi="Times New Roman" w:cs="Times New Roman"/>
        </w:rPr>
        <w:t>This project has received funding from the Research Council of Lithuania (LMTLT), agreement No S-MIP-23-79.</w:t>
      </w:r>
    </w:p>
    <w:p w14:paraId="180BC58B"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p>
    <w:p w14:paraId="1568F403" w14:textId="77777777" w:rsidR="00493508" w:rsidRPr="00493508" w:rsidRDefault="00493508" w:rsidP="00493508">
      <w:pPr>
        <w:pBdr>
          <w:top w:val="nil"/>
          <w:left w:val="nil"/>
          <w:bottom w:val="nil"/>
          <w:right w:val="nil"/>
          <w:between w:val="nil"/>
        </w:pBdr>
        <w:rPr>
          <w:rFonts w:ascii="Times New Roman" w:hAnsi="Times New Roman" w:cs="Times New Roman"/>
          <w:b/>
          <w:bCs/>
          <w:lang w:val="en-US"/>
        </w:rPr>
      </w:pPr>
      <w:r w:rsidRPr="00493508">
        <w:rPr>
          <w:rFonts w:ascii="Times New Roman" w:hAnsi="Times New Roman" w:cs="Times New Roman"/>
          <w:b/>
          <w:bCs/>
          <w:lang w:val="en-US"/>
        </w:rPr>
        <w:t>References</w:t>
      </w:r>
    </w:p>
    <w:p w14:paraId="3F09E466" w14:textId="77777777" w:rsidR="00493508" w:rsidRPr="00493508" w:rsidRDefault="00493508" w:rsidP="00493508">
      <w:pPr>
        <w:pStyle w:val="ListParagraph"/>
        <w:numPr>
          <w:ilvl w:val="0"/>
          <w:numId w:val="2"/>
        </w:num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lang w:val="en-US"/>
        </w:rPr>
        <w:t xml:space="preserve">Ho AFW, et al. Remote ischemic conditioning in emergency medicine-clinical frontiers and research opportunities. Shock. </w:t>
      </w:r>
      <w:proofErr w:type="gramStart"/>
      <w:r w:rsidRPr="00493508">
        <w:rPr>
          <w:rFonts w:ascii="Times New Roman" w:hAnsi="Times New Roman" w:cs="Times New Roman"/>
          <w:lang w:val="en-US"/>
        </w:rPr>
        <w:t>2020;53:269</w:t>
      </w:r>
      <w:proofErr w:type="gramEnd"/>
      <w:r w:rsidRPr="00493508">
        <w:rPr>
          <w:rFonts w:ascii="Times New Roman" w:hAnsi="Times New Roman" w:cs="Times New Roman"/>
          <w:lang w:val="en-US"/>
        </w:rPr>
        <w:t>–76.</w:t>
      </w:r>
    </w:p>
    <w:p w14:paraId="74044791" w14:textId="77777777" w:rsidR="00493508" w:rsidRPr="00493508" w:rsidRDefault="00493508" w:rsidP="00493508">
      <w:pPr>
        <w:pStyle w:val="ListParagraph"/>
        <w:numPr>
          <w:ilvl w:val="0"/>
          <w:numId w:val="2"/>
        </w:num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lang w:val="en-US"/>
        </w:rPr>
        <w:t xml:space="preserve">He HW, et al. The peripheral perfusion index and transcutaneous oxygen challenge test are predictive of mortality in septic patients after resuscitation. Crit Care. (2013) </w:t>
      </w:r>
      <w:proofErr w:type="gramStart"/>
      <w:r w:rsidRPr="00493508">
        <w:rPr>
          <w:rFonts w:ascii="Times New Roman" w:hAnsi="Times New Roman" w:cs="Times New Roman"/>
          <w:lang w:val="en-US"/>
        </w:rPr>
        <w:t>17:R</w:t>
      </w:r>
      <w:proofErr w:type="gramEnd"/>
      <w:r w:rsidRPr="00493508">
        <w:rPr>
          <w:rFonts w:ascii="Times New Roman" w:hAnsi="Times New Roman" w:cs="Times New Roman"/>
          <w:lang w:val="en-US"/>
        </w:rPr>
        <w:t>116.</w:t>
      </w:r>
    </w:p>
    <w:p w14:paraId="3FD858E2" w14:textId="4011555B" w:rsidR="00493508" w:rsidRPr="00493508" w:rsidRDefault="00493508" w:rsidP="00493508">
      <w:pPr>
        <w:pStyle w:val="ListParagraph"/>
        <w:numPr>
          <w:ilvl w:val="0"/>
          <w:numId w:val="2"/>
        </w:num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lang w:val="en-US"/>
        </w:rPr>
        <w:t>Das M, et al. Prognostic performance of peripheral perfusion index and shock index combined with ESI to predict hospital outcome. Am J Emerg Med. 2020 Oct;38(10):2055-2059.</w:t>
      </w:r>
    </w:p>
    <w:p w14:paraId="23A5D48C" w14:textId="3D307C0A" w:rsidR="00493508" w:rsidRPr="00493508" w:rsidRDefault="00493508">
      <w:pPr>
        <w:rPr>
          <w:rFonts w:ascii="Times New Roman" w:hAnsi="Times New Roman" w:cs="Times New Roman"/>
          <w:lang w:val="en-US"/>
        </w:rPr>
      </w:pPr>
      <w:r w:rsidRPr="00493508">
        <w:rPr>
          <w:rFonts w:ascii="Times New Roman" w:hAnsi="Times New Roman" w:cs="Times New Roman"/>
          <w:lang w:val="en-US"/>
        </w:rPr>
        <w:br w:type="page"/>
      </w:r>
    </w:p>
    <w:p w14:paraId="42EC92B4" w14:textId="407A0196" w:rsidR="00493508" w:rsidRPr="00493508" w:rsidRDefault="00493508" w:rsidP="00493508">
      <w:pPr>
        <w:pBdr>
          <w:top w:val="nil"/>
          <w:left w:val="nil"/>
          <w:bottom w:val="nil"/>
          <w:right w:val="nil"/>
          <w:between w:val="nil"/>
        </w:pBdr>
        <w:jc w:val="center"/>
        <w:rPr>
          <w:rFonts w:ascii="Times New Roman" w:hAnsi="Times New Roman" w:cs="Times New Roman"/>
          <w:b/>
          <w:bCs/>
        </w:rPr>
      </w:pPr>
      <w:r w:rsidRPr="00493508">
        <w:rPr>
          <w:rFonts w:ascii="Times New Roman" w:hAnsi="Times New Roman" w:cs="Times New Roman"/>
          <w:b/>
          <w:bCs/>
        </w:rPr>
        <w:lastRenderedPageBreak/>
        <w:t>EXPLORING THE EFFECTS OF INTRA-ABDOMINAL PRESSURE AND ABDOMINAL PERFUSION PRESSURE ON ACUTE KIDNEY INJURY IN ORTHOTOPIC LIVER TRANSPLANT PATIENTS</w:t>
      </w:r>
    </w:p>
    <w:p w14:paraId="08C4E972" w14:textId="77777777" w:rsidR="00493508" w:rsidRDefault="00493508" w:rsidP="00493508">
      <w:pPr>
        <w:pBdr>
          <w:top w:val="nil"/>
          <w:left w:val="nil"/>
          <w:bottom w:val="nil"/>
          <w:right w:val="nil"/>
          <w:between w:val="nil"/>
        </w:pBdr>
        <w:rPr>
          <w:rFonts w:ascii="Times New Roman" w:hAnsi="Times New Roman" w:cs="Times New Roman"/>
          <w:b/>
          <w:bCs/>
        </w:rPr>
      </w:pPr>
    </w:p>
    <w:p w14:paraId="2733D873" w14:textId="77777777" w:rsidR="00493508" w:rsidRPr="00493508" w:rsidRDefault="00493508" w:rsidP="00493508">
      <w:pPr>
        <w:pBdr>
          <w:top w:val="nil"/>
          <w:left w:val="nil"/>
          <w:bottom w:val="nil"/>
          <w:right w:val="nil"/>
          <w:between w:val="nil"/>
        </w:pBdr>
        <w:rPr>
          <w:rFonts w:ascii="Times New Roman" w:hAnsi="Times New Roman" w:cs="Times New Roman"/>
          <w:b/>
          <w:bCs/>
        </w:rPr>
      </w:pPr>
    </w:p>
    <w:p w14:paraId="053C7D07" w14:textId="77777777" w:rsidR="00493508" w:rsidRPr="00493508" w:rsidRDefault="00493508" w:rsidP="00493508">
      <w:pPr>
        <w:pBdr>
          <w:top w:val="nil"/>
          <w:left w:val="nil"/>
          <w:bottom w:val="nil"/>
          <w:right w:val="nil"/>
          <w:between w:val="nil"/>
        </w:pBdr>
        <w:rPr>
          <w:rFonts w:ascii="Times New Roman" w:hAnsi="Times New Roman" w:cs="Times New Roman"/>
          <w:lang w:val="nl-NL"/>
        </w:rPr>
      </w:pPr>
      <w:r w:rsidRPr="00493508">
        <w:rPr>
          <w:rFonts w:ascii="Times New Roman" w:hAnsi="Times New Roman" w:cs="Times New Roman"/>
          <w:lang w:val="nl-NL"/>
        </w:rPr>
        <w:t>Franziska Gunther</w:t>
      </w:r>
      <w:r w:rsidRPr="00493508">
        <w:rPr>
          <w:rFonts w:ascii="Times New Roman" w:hAnsi="Times New Roman" w:cs="Times New Roman"/>
          <w:vertAlign w:val="superscript"/>
          <w:lang w:val="nl-NL"/>
        </w:rPr>
        <w:t>1</w:t>
      </w:r>
      <w:r w:rsidRPr="00493508">
        <w:rPr>
          <w:rFonts w:ascii="Times New Roman" w:hAnsi="Times New Roman" w:cs="Times New Roman"/>
          <w:lang w:val="nl-NL"/>
        </w:rPr>
        <w:t xml:space="preserve"> MD, Matijs van Meurs</w:t>
      </w:r>
      <w:r w:rsidRPr="00493508">
        <w:rPr>
          <w:rFonts w:ascii="Times New Roman" w:hAnsi="Times New Roman" w:cs="Times New Roman"/>
          <w:vertAlign w:val="superscript"/>
          <w:lang w:val="nl-NL"/>
        </w:rPr>
        <w:t>1</w:t>
      </w:r>
      <w:r w:rsidRPr="00493508">
        <w:rPr>
          <w:rFonts w:ascii="Times New Roman" w:hAnsi="Times New Roman" w:cs="Times New Roman"/>
          <w:lang w:val="nl-NL"/>
        </w:rPr>
        <w:t xml:space="preserve"> MD PhD, Jacqueline Koeze</w:t>
      </w:r>
      <w:r w:rsidRPr="00493508">
        <w:rPr>
          <w:rFonts w:ascii="Times New Roman" w:hAnsi="Times New Roman" w:cs="Times New Roman"/>
          <w:vertAlign w:val="superscript"/>
          <w:lang w:val="nl-NL"/>
        </w:rPr>
        <w:t>1</w:t>
      </w:r>
      <w:r w:rsidRPr="00493508">
        <w:rPr>
          <w:rFonts w:ascii="Times New Roman" w:hAnsi="Times New Roman" w:cs="Times New Roman"/>
          <w:lang w:val="nl-NL"/>
        </w:rPr>
        <w:t xml:space="preserve"> MD PhD, </w:t>
      </w:r>
      <w:r w:rsidRPr="00493508">
        <w:rPr>
          <w:rFonts w:ascii="Times New Roman" w:hAnsi="Times New Roman" w:cs="Times New Roman"/>
          <w:b/>
          <w:bCs/>
          <w:lang w:val="nl-NL"/>
        </w:rPr>
        <w:t>Marije Smit</w:t>
      </w:r>
      <w:r w:rsidRPr="00493508">
        <w:rPr>
          <w:rFonts w:ascii="Times New Roman" w:hAnsi="Times New Roman" w:cs="Times New Roman"/>
          <w:b/>
          <w:bCs/>
          <w:vertAlign w:val="superscript"/>
          <w:lang w:val="nl-NL"/>
        </w:rPr>
        <w:t>1</w:t>
      </w:r>
      <w:r w:rsidRPr="00493508">
        <w:rPr>
          <w:rFonts w:ascii="Times New Roman" w:hAnsi="Times New Roman" w:cs="Times New Roman"/>
          <w:b/>
          <w:bCs/>
          <w:lang w:val="nl-NL"/>
        </w:rPr>
        <w:t xml:space="preserve"> MD PhD</w:t>
      </w:r>
    </w:p>
    <w:p w14:paraId="7C953B5F"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vertAlign w:val="superscript"/>
          <w:lang w:val="en-US"/>
        </w:rPr>
        <w:t>1</w:t>
      </w:r>
      <w:r w:rsidRPr="00493508">
        <w:rPr>
          <w:rFonts w:ascii="Times New Roman" w:hAnsi="Times New Roman" w:cs="Times New Roman"/>
          <w:lang w:val="en-US"/>
        </w:rPr>
        <w:t xml:space="preserve"> Department of Critical Care, University Medical Center Groningen, </w:t>
      </w:r>
      <w:proofErr w:type="spellStart"/>
      <w:r w:rsidRPr="00493508">
        <w:rPr>
          <w:rFonts w:ascii="Times New Roman" w:hAnsi="Times New Roman" w:cs="Times New Roman"/>
          <w:lang w:val="en-US"/>
        </w:rPr>
        <w:t>Rijksuniversity</w:t>
      </w:r>
      <w:proofErr w:type="spellEnd"/>
      <w:r w:rsidRPr="00493508">
        <w:rPr>
          <w:rFonts w:ascii="Times New Roman" w:hAnsi="Times New Roman" w:cs="Times New Roman"/>
          <w:lang w:val="en-US"/>
        </w:rPr>
        <w:t xml:space="preserve"> Groningen, the Netherlands</w:t>
      </w:r>
    </w:p>
    <w:p w14:paraId="0413B6CF" w14:textId="77777777" w:rsidR="00493508" w:rsidRPr="00493508" w:rsidRDefault="00493508" w:rsidP="00493508">
      <w:pPr>
        <w:pBdr>
          <w:top w:val="nil"/>
          <w:left w:val="nil"/>
          <w:bottom w:val="nil"/>
          <w:right w:val="nil"/>
          <w:between w:val="nil"/>
        </w:pBdr>
        <w:rPr>
          <w:rFonts w:ascii="Times New Roman" w:hAnsi="Times New Roman" w:cs="Times New Roman"/>
          <w:b/>
          <w:bCs/>
          <w:lang w:val="en-US"/>
        </w:rPr>
      </w:pPr>
      <w:r w:rsidRPr="00493508">
        <w:rPr>
          <w:rFonts w:ascii="Times New Roman" w:hAnsi="Times New Roman" w:cs="Times New Roman"/>
          <w:b/>
          <w:bCs/>
          <w:lang w:val="en-US"/>
        </w:rPr>
        <w:br/>
        <w:t xml:space="preserve">Abstract </w:t>
      </w:r>
    </w:p>
    <w:p w14:paraId="74EF5460" w14:textId="77777777" w:rsidR="00493508" w:rsidRPr="00493508" w:rsidRDefault="00493508" w:rsidP="00493508">
      <w:pPr>
        <w:pBdr>
          <w:top w:val="nil"/>
          <w:left w:val="nil"/>
          <w:bottom w:val="nil"/>
          <w:right w:val="nil"/>
          <w:between w:val="nil"/>
        </w:pBdr>
        <w:rPr>
          <w:rFonts w:ascii="Times New Roman" w:hAnsi="Times New Roman" w:cs="Times New Roman"/>
          <w:b/>
          <w:bCs/>
          <w:lang w:val="en-US"/>
        </w:rPr>
      </w:pPr>
    </w:p>
    <w:p w14:paraId="0358CA17" w14:textId="77777777" w:rsidR="00493508" w:rsidRPr="00493508" w:rsidRDefault="00493508" w:rsidP="00493508">
      <w:pPr>
        <w:pBdr>
          <w:top w:val="nil"/>
          <w:left w:val="nil"/>
          <w:bottom w:val="nil"/>
          <w:right w:val="nil"/>
          <w:between w:val="nil"/>
        </w:pBdr>
        <w:rPr>
          <w:rFonts w:ascii="Times New Roman" w:hAnsi="Times New Roman" w:cs="Times New Roman"/>
          <w:b/>
          <w:bCs/>
          <w:lang w:val="en-US"/>
        </w:rPr>
      </w:pPr>
      <w:r w:rsidRPr="00493508">
        <w:rPr>
          <w:rFonts w:ascii="Times New Roman" w:hAnsi="Times New Roman" w:cs="Times New Roman"/>
          <w:b/>
          <w:bCs/>
          <w:lang w:val="en-US"/>
        </w:rPr>
        <w:t>Introduction</w:t>
      </w:r>
    </w:p>
    <w:p w14:paraId="004D9240" w14:textId="77777777" w:rsidR="00493508" w:rsidRPr="00493508" w:rsidRDefault="00493508" w:rsidP="00493508">
      <w:pPr>
        <w:pBdr>
          <w:top w:val="nil"/>
          <w:left w:val="nil"/>
          <w:bottom w:val="nil"/>
          <w:right w:val="nil"/>
          <w:between w:val="nil"/>
        </w:pBdr>
        <w:rPr>
          <w:rFonts w:ascii="Times New Roman" w:hAnsi="Times New Roman" w:cs="Times New Roman"/>
        </w:rPr>
      </w:pPr>
      <w:r w:rsidRPr="00493508">
        <w:rPr>
          <w:rFonts w:ascii="Times New Roman" w:hAnsi="Times New Roman" w:cs="Times New Roman"/>
        </w:rPr>
        <w:t xml:space="preserve">Patients undergoing orthotopic liver transplantation are susceptible to the development of intra-abdominal hypertension and abdominal compartment syndrome, and approximately forty percent of the patients develop postoperative acute kidney injury (AKI). There is a shortage of prospective cohort studies examining the association of elevated intra-abdominal pressure (IAP) and the incidence of AKI, and existing evidence is compromised by varied definitions of IAP and AKI. We hypothesize that IAP is associated with AKI incidence and severity in OLT patients.  </w:t>
      </w:r>
    </w:p>
    <w:p w14:paraId="30A1E799" w14:textId="77777777" w:rsidR="00493508" w:rsidRPr="00493508" w:rsidRDefault="00493508" w:rsidP="00493508">
      <w:pPr>
        <w:pBdr>
          <w:top w:val="nil"/>
          <w:left w:val="nil"/>
          <w:bottom w:val="nil"/>
          <w:right w:val="nil"/>
          <w:between w:val="nil"/>
        </w:pBdr>
        <w:rPr>
          <w:rFonts w:ascii="Times New Roman" w:hAnsi="Times New Roman" w:cs="Times New Roman"/>
        </w:rPr>
      </w:pPr>
    </w:p>
    <w:p w14:paraId="3AF05613" w14:textId="77777777" w:rsidR="00493508" w:rsidRPr="00493508" w:rsidRDefault="00493508" w:rsidP="00493508">
      <w:pPr>
        <w:pBdr>
          <w:top w:val="nil"/>
          <w:left w:val="nil"/>
          <w:bottom w:val="nil"/>
          <w:right w:val="nil"/>
          <w:between w:val="nil"/>
        </w:pBdr>
        <w:rPr>
          <w:rFonts w:ascii="Times New Roman" w:hAnsi="Times New Roman" w:cs="Times New Roman"/>
          <w:b/>
          <w:bCs/>
        </w:rPr>
      </w:pPr>
      <w:r w:rsidRPr="00493508">
        <w:rPr>
          <w:rFonts w:ascii="Times New Roman" w:hAnsi="Times New Roman" w:cs="Times New Roman"/>
          <w:b/>
          <w:bCs/>
        </w:rPr>
        <w:t>Objectives</w:t>
      </w:r>
    </w:p>
    <w:p w14:paraId="3122F2EB" w14:textId="77777777" w:rsidR="00493508" w:rsidRPr="00493508" w:rsidRDefault="00493508" w:rsidP="00493508">
      <w:pPr>
        <w:pBdr>
          <w:top w:val="nil"/>
          <w:left w:val="nil"/>
          <w:bottom w:val="nil"/>
          <w:right w:val="nil"/>
          <w:between w:val="nil"/>
        </w:pBdr>
        <w:rPr>
          <w:rFonts w:ascii="Times New Roman" w:hAnsi="Times New Roman" w:cs="Times New Roman"/>
        </w:rPr>
      </w:pPr>
      <w:r w:rsidRPr="00493508">
        <w:rPr>
          <w:rFonts w:ascii="Times New Roman" w:hAnsi="Times New Roman" w:cs="Times New Roman"/>
        </w:rPr>
        <w:t xml:space="preserve">This study aims to investigate the association between IAP and AKI in approximately 30 orthotopic liver transplant patients. </w:t>
      </w:r>
    </w:p>
    <w:p w14:paraId="55CE50BA" w14:textId="77777777" w:rsidR="00493508" w:rsidRPr="00493508" w:rsidRDefault="00493508" w:rsidP="00493508">
      <w:pPr>
        <w:pBdr>
          <w:top w:val="nil"/>
          <w:left w:val="nil"/>
          <w:bottom w:val="nil"/>
          <w:right w:val="nil"/>
          <w:between w:val="nil"/>
        </w:pBdr>
        <w:rPr>
          <w:rFonts w:ascii="Times New Roman" w:hAnsi="Times New Roman" w:cs="Times New Roman"/>
        </w:rPr>
      </w:pPr>
    </w:p>
    <w:p w14:paraId="24CDE555" w14:textId="77777777" w:rsidR="00493508" w:rsidRPr="00493508" w:rsidRDefault="00493508" w:rsidP="00493508">
      <w:pPr>
        <w:pBdr>
          <w:top w:val="nil"/>
          <w:left w:val="nil"/>
          <w:bottom w:val="nil"/>
          <w:right w:val="nil"/>
          <w:between w:val="nil"/>
        </w:pBdr>
        <w:rPr>
          <w:rFonts w:ascii="Times New Roman" w:hAnsi="Times New Roman" w:cs="Times New Roman"/>
          <w:b/>
          <w:bCs/>
        </w:rPr>
      </w:pPr>
      <w:r w:rsidRPr="00493508">
        <w:rPr>
          <w:rFonts w:ascii="Times New Roman" w:hAnsi="Times New Roman" w:cs="Times New Roman"/>
          <w:b/>
          <w:bCs/>
        </w:rPr>
        <w:t>Methods</w:t>
      </w:r>
    </w:p>
    <w:p w14:paraId="09E3BE0E" w14:textId="77777777" w:rsidR="00493508" w:rsidRPr="00493508" w:rsidRDefault="00493508" w:rsidP="00493508">
      <w:pPr>
        <w:pBdr>
          <w:top w:val="nil"/>
          <w:left w:val="nil"/>
          <w:bottom w:val="nil"/>
          <w:right w:val="nil"/>
          <w:between w:val="nil"/>
        </w:pBdr>
        <w:rPr>
          <w:rFonts w:ascii="Times New Roman" w:hAnsi="Times New Roman" w:cs="Times New Roman"/>
        </w:rPr>
      </w:pPr>
      <w:r w:rsidRPr="00493508">
        <w:rPr>
          <w:rFonts w:ascii="Times New Roman" w:hAnsi="Times New Roman" w:cs="Times New Roman"/>
        </w:rPr>
        <w:t xml:space="preserve">A prospective cohort study in orthotopic liver transplant patients admitted to the University Medical </w:t>
      </w:r>
      <w:proofErr w:type="spellStart"/>
      <w:r w:rsidRPr="00493508">
        <w:rPr>
          <w:rFonts w:ascii="Times New Roman" w:hAnsi="Times New Roman" w:cs="Times New Roman"/>
        </w:rPr>
        <w:t>Center</w:t>
      </w:r>
      <w:proofErr w:type="spellEnd"/>
      <w:r w:rsidRPr="00493508">
        <w:rPr>
          <w:rFonts w:ascii="Times New Roman" w:hAnsi="Times New Roman" w:cs="Times New Roman"/>
        </w:rPr>
        <w:t xml:space="preserve"> Groningen, the Netherlands was started in July 2024. Intra-abdominal pressure is measured via the bladder using the </w:t>
      </w:r>
      <w:proofErr w:type="spellStart"/>
      <w:r w:rsidRPr="00493508">
        <w:rPr>
          <w:rFonts w:ascii="Times New Roman" w:hAnsi="Times New Roman" w:cs="Times New Roman"/>
        </w:rPr>
        <w:t>Accuryn</w:t>
      </w:r>
      <w:proofErr w:type="spellEnd"/>
      <w:r w:rsidRPr="00493508">
        <w:rPr>
          <w:rFonts w:ascii="Times New Roman" w:hAnsi="Times New Roman" w:cs="Times New Roman"/>
        </w:rPr>
        <w:t xml:space="preserve"> Monitoring system. Primary outcome is AKI incidence, according to the KDIGO-criteria, within the first 7 days of hospital admission after transplantation. Furthermore, kidney-specific biomarkers are measured both during and after surgery to assess kidney function.</w:t>
      </w:r>
    </w:p>
    <w:p w14:paraId="6364FE95" w14:textId="77777777" w:rsidR="00493508" w:rsidRPr="00493508" w:rsidRDefault="00493508" w:rsidP="00493508">
      <w:pPr>
        <w:pBdr>
          <w:top w:val="nil"/>
          <w:left w:val="nil"/>
          <w:bottom w:val="nil"/>
          <w:right w:val="nil"/>
          <w:between w:val="nil"/>
        </w:pBdr>
        <w:rPr>
          <w:rFonts w:ascii="Times New Roman" w:hAnsi="Times New Roman" w:cs="Times New Roman"/>
        </w:rPr>
      </w:pPr>
    </w:p>
    <w:p w14:paraId="00FEE034" w14:textId="77777777" w:rsidR="00493508" w:rsidRPr="00493508" w:rsidRDefault="00493508" w:rsidP="00493508">
      <w:pPr>
        <w:pBdr>
          <w:top w:val="nil"/>
          <w:left w:val="nil"/>
          <w:bottom w:val="nil"/>
          <w:right w:val="nil"/>
          <w:between w:val="nil"/>
        </w:pBdr>
        <w:rPr>
          <w:rFonts w:ascii="Times New Roman" w:hAnsi="Times New Roman" w:cs="Times New Roman"/>
          <w:b/>
          <w:bCs/>
        </w:rPr>
      </w:pPr>
      <w:r w:rsidRPr="00493508">
        <w:rPr>
          <w:rFonts w:ascii="Times New Roman" w:hAnsi="Times New Roman" w:cs="Times New Roman"/>
          <w:b/>
          <w:bCs/>
        </w:rPr>
        <w:t xml:space="preserve">Expected Results </w:t>
      </w:r>
    </w:p>
    <w:p w14:paraId="4CEBD872" w14:textId="77777777" w:rsidR="00493508" w:rsidRPr="00493508" w:rsidRDefault="00493508" w:rsidP="00493508">
      <w:pPr>
        <w:pBdr>
          <w:top w:val="nil"/>
          <w:left w:val="nil"/>
          <w:bottom w:val="nil"/>
          <w:right w:val="nil"/>
          <w:between w:val="nil"/>
        </w:pBdr>
        <w:rPr>
          <w:rFonts w:ascii="Times New Roman" w:hAnsi="Times New Roman" w:cs="Times New Roman"/>
        </w:rPr>
      </w:pPr>
      <w:r w:rsidRPr="00493508">
        <w:rPr>
          <w:rFonts w:ascii="Times New Roman" w:hAnsi="Times New Roman" w:cs="Times New Roman"/>
        </w:rPr>
        <w:t xml:space="preserve">This study was started in July 2024 and is still ongoing. Thus far 7 patients undergoing orthotopic liver transplant have been included. </w:t>
      </w:r>
    </w:p>
    <w:p w14:paraId="4FDCB033" w14:textId="77777777" w:rsidR="00493508" w:rsidRPr="00493508" w:rsidRDefault="00493508" w:rsidP="00493508">
      <w:pPr>
        <w:pBdr>
          <w:top w:val="nil"/>
          <w:left w:val="nil"/>
          <w:bottom w:val="nil"/>
          <w:right w:val="nil"/>
          <w:between w:val="nil"/>
        </w:pBdr>
        <w:rPr>
          <w:rFonts w:ascii="Times New Roman" w:hAnsi="Times New Roman" w:cs="Times New Roman"/>
        </w:rPr>
      </w:pPr>
    </w:p>
    <w:p w14:paraId="0EDB780B" w14:textId="77777777" w:rsidR="00493508" w:rsidRPr="00493508" w:rsidRDefault="00493508" w:rsidP="00493508">
      <w:pPr>
        <w:pBdr>
          <w:top w:val="nil"/>
          <w:left w:val="nil"/>
          <w:bottom w:val="nil"/>
          <w:right w:val="nil"/>
          <w:between w:val="nil"/>
        </w:pBdr>
        <w:rPr>
          <w:rFonts w:ascii="Times New Roman" w:hAnsi="Times New Roman" w:cs="Times New Roman"/>
          <w:b/>
          <w:bCs/>
        </w:rPr>
      </w:pPr>
      <w:r w:rsidRPr="00493508">
        <w:rPr>
          <w:rFonts w:ascii="Times New Roman" w:hAnsi="Times New Roman" w:cs="Times New Roman"/>
          <w:b/>
          <w:bCs/>
        </w:rPr>
        <w:t>Conclusions</w:t>
      </w:r>
    </w:p>
    <w:p w14:paraId="1498E8C8" w14:textId="77777777" w:rsidR="00493508" w:rsidRPr="00493508" w:rsidRDefault="00493508" w:rsidP="00493508">
      <w:pPr>
        <w:pBdr>
          <w:top w:val="nil"/>
          <w:left w:val="nil"/>
          <w:bottom w:val="nil"/>
          <w:right w:val="nil"/>
          <w:between w:val="nil"/>
        </w:pBdr>
        <w:rPr>
          <w:rFonts w:ascii="Times New Roman" w:hAnsi="Times New Roman" w:cs="Times New Roman"/>
        </w:rPr>
      </w:pPr>
      <w:r w:rsidRPr="00493508">
        <w:rPr>
          <w:rFonts w:ascii="Times New Roman" w:hAnsi="Times New Roman" w:cs="Times New Roman"/>
        </w:rPr>
        <w:t xml:space="preserve">In this </w:t>
      </w:r>
      <w:proofErr w:type="spellStart"/>
      <w:r w:rsidRPr="00493508">
        <w:rPr>
          <w:rFonts w:ascii="Times New Roman" w:hAnsi="Times New Roman" w:cs="Times New Roman"/>
        </w:rPr>
        <w:t>ungoing</w:t>
      </w:r>
      <w:proofErr w:type="spellEnd"/>
      <w:r w:rsidRPr="00493508">
        <w:rPr>
          <w:rFonts w:ascii="Times New Roman" w:hAnsi="Times New Roman" w:cs="Times New Roman"/>
        </w:rPr>
        <w:t xml:space="preserve"> study the association between IAP and AKI will be studied in approximately 30 patients undergoing orthotopic liver transplantation.</w:t>
      </w:r>
    </w:p>
    <w:p w14:paraId="08135FDB"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p>
    <w:p w14:paraId="04D0E4D6" w14:textId="60606DD7" w:rsidR="00493508" w:rsidRPr="00493508" w:rsidRDefault="00493508">
      <w:pPr>
        <w:rPr>
          <w:rFonts w:ascii="Times New Roman" w:hAnsi="Times New Roman" w:cs="Times New Roman"/>
        </w:rPr>
      </w:pPr>
      <w:r w:rsidRPr="00493508">
        <w:rPr>
          <w:rFonts w:ascii="Times New Roman" w:hAnsi="Times New Roman" w:cs="Times New Roman"/>
        </w:rPr>
        <w:br w:type="page"/>
      </w:r>
    </w:p>
    <w:p w14:paraId="6F286306" w14:textId="77777777" w:rsidR="00493508" w:rsidRPr="00493508" w:rsidRDefault="00493508" w:rsidP="00493508">
      <w:pPr>
        <w:pBdr>
          <w:top w:val="nil"/>
          <w:left w:val="nil"/>
          <w:bottom w:val="nil"/>
          <w:right w:val="nil"/>
          <w:between w:val="nil"/>
        </w:pBdr>
        <w:jc w:val="center"/>
        <w:rPr>
          <w:rFonts w:ascii="Times New Roman" w:hAnsi="Times New Roman" w:cs="Times New Roman"/>
          <w:b/>
          <w:bCs/>
          <w:sz w:val="28"/>
          <w:szCs w:val="28"/>
          <w:lang w:val="en-US"/>
        </w:rPr>
      </w:pPr>
      <w:r w:rsidRPr="00493508">
        <w:rPr>
          <w:rFonts w:ascii="Times New Roman" w:hAnsi="Times New Roman" w:cs="Times New Roman"/>
          <w:b/>
          <w:bCs/>
          <w:sz w:val="28"/>
          <w:szCs w:val="28"/>
          <w:lang w:val="en-US"/>
        </w:rPr>
        <w:lastRenderedPageBreak/>
        <w:br/>
      </w:r>
      <w:r w:rsidRPr="00493508">
        <w:rPr>
          <w:rFonts w:ascii="Times New Roman" w:hAnsi="Times New Roman" w:cs="Times New Roman"/>
          <w:b/>
          <w:bCs/>
          <w:lang w:val="en-US"/>
        </w:rPr>
        <w:t>INTOKSIKACIJA INSULINU. KLINIKINIS ATVEJIS</w:t>
      </w:r>
    </w:p>
    <w:p w14:paraId="7B6BC4A7" w14:textId="77777777" w:rsidR="00493508" w:rsidRPr="00493508" w:rsidRDefault="00493508" w:rsidP="00493508">
      <w:pPr>
        <w:pBdr>
          <w:top w:val="nil"/>
          <w:left w:val="nil"/>
          <w:bottom w:val="nil"/>
          <w:right w:val="nil"/>
          <w:between w:val="nil"/>
        </w:pBdr>
        <w:rPr>
          <w:rFonts w:ascii="Times New Roman" w:hAnsi="Times New Roman" w:cs="Times New Roman"/>
          <w:b/>
          <w:lang w:val="en-US"/>
        </w:rPr>
      </w:pPr>
    </w:p>
    <w:p w14:paraId="70643506" w14:textId="77777777" w:rsidR="00493508" w:rsidRPr="00493508" w:rsidRDefault="00493508" w:rsidP="00493508">
      <w:pPr>
        <w:pBdr>
          <w:top w:val="nil"/>
          <w:left w:val="nil"/>
          <w:bottom w:val="nil"/>
          <w:right w:val="nil"/>
          <w:between w:val="nil"/>
        </w:pBdr>
        <w:rPr>
          <w:rFonts w:ascii="Times New Roman" w:hAnsi="Times New Roman" w:cs="Times New Roman"/>
          <w:b/>
          <w:lang w:val="en-US"/>
        </w:rPr>
      </w:pPr>
      <w:r w:rsidRPr="00493508">
        <w:rPr>
          <w:rFonts w:ascii="Times New Roman" w:hAnsi="Times New Roman" w:cs="Times New Roman"/>
          <w:b/>
          <w:lang w:val="en-US"/>
        </w:rPr>
        <w:t>AUTORIAI:</w:t>
      </w:r>
    </w:p>
    <w:p w14:paraId="4F5318D8" w14:textId="77777777" w:rsidR="00493508" w:rsidRPr="00493508" w:rsidRDefault="00493508" w:rsidP="00493508">
      <w:pPr>
        <w:pBdr>
          <w:top w:val="nil"/>
          <w:left w:val="nil"/>
          <w:bottom w:val="nil"/>
          <w:right w:val="nil"/>
          <w:between w:val="nil"/>
        </w:pBdr>
        <w:rPr>
          <w:rFonts w:ascii="Times New Roman" w:hAnsi="Times New Roman" w:cs="Times New Roman"/>
          <w:b/>
          <w:bCs/>
          <w:i/>
          <w:vertAlign w:val="superscript"/>
          <w:lang w:val="lt-LT"/>
        </w:rPr>
      </w:pPr>
      <w:r w:rsidRPr="00493508">
        <w:rPr>
          <w:rFonts w:ascii="Times New Roman" w:hAnsi="Times New Roman" w:cs="Times New Roman"/>
          <w:b/>
          <w:bCs/>
          <w:lang w:val="sv-SE"/>
        </w:rPr>
        <w:t>Gintar</w:t>
      </w:r>
      <w:r w:rsidRPr="00493508">
        <w:rPr>
          <w:rFonts w:ascii="Times New Roman" w:hAnsi="Times New Roman" w:cs="Times New Roman"/>
          <w:b/>
          <w:bCs/>
          <w:lang w:val="lt-LT"/>
        </w:rPr>
        <w:t xml:space="preserve">ė </w:t>
      </w:r>
      <w:proofErr w:type="spellStart"/>
      <w:r w:rsidRPr="00493508">
        <w:rPr>
          <w:rFonts w:ascii="Times New Roman" w:hAnsi="Times New Roman" w:cs="Times New Roman"/>
          <w:b/>
          <w:bCs/>
          <w:lang w:val="lt-LT"/>
        </w:rPr>
        <w:t>Runzaitė</w:t>
      </w:r>
      <w:proofErr w:type="spellEnd"/>
    </w:p>
    <w:p w14:paraId="41ED0570" w14:textId="77777777" w:rsidR="00493508" w:rsidRPr="00493508" w:rsidRDefault="00493508" w:rsidP="00493508">
      <w:pPr>
        <w:pBdr>
          <w:top w:val="nil"/>
          <w:left w:val="nil"/>
          <w:bottom w:val="nil"/>
          <w:right w:val="nil"/>
          <w:between w:val="nil"/>
        </w:pBdr>
        <w:rPr>
          <w:rFonts w:ascii="Times New Roman" w:hAnsi="Times New Roman" w:cs="Times New Roman"/>
          <w:i/>
          <w:lang w:val="sv-SE"/>
        </w:rPr>
      </w:pPr>
      <w:bookmarkStart w:id="0" w:name="_Hlk177406255"/>
      <w:r w:rsidRPr="00493508">
        <w:rPr>
          <w:rFonts w:ascii="Times New Roman" w:hAnsi="Times New Roman" w:cs="Times New Roman"/>
          <w:i/>
          <w:lang w:val="sv-SE"/>
        </w:rPr>
        <w:t>Medicinos fakultetas, Medicinos akademija, Lietuvos Sveikatos Mokslų Universitetas, Kaunas, Lietuva</w:t>
      </w:r>
    </w:p>
    <w:bookmarkEnd w:id="0"/>
    <w:p w14:paraId="3CF673E7" w14:textId="77777777" w:rsidR="00493508" w:rsidRPr="00493508" w:rsidRDefault="00493508" w:rsidP="00493508">
      <w:pPr>
        <w:pBdr>
          <w:top w:val="nil"/>
          <w:left w:val="nil"/>
          <w:bottom w:val="nil"/>
          <w:right w:val="nil"/>
          <w:between w:val="nil"/>
        </w:pBdr>
        <w:rPr>
          <w:rFonts w:ascii="Times New Roman" w:hAnsi="Times New Roman" w:cs="Times New Roman"/>
          <w:lang w:val="sv-SE"/>
        </w:rPr>
      </w:pPr>
      <w:r w:rsidRPr="00493508">
        <w:rPr>
          <w:rFonts w:ascii="Times New Roman" w:hAnsi="Times New Roman" w:cs="Times New Roman"/>
          <w:lang w:val="sv-SE"/>
        </w:rPr>
        <w:t>Eglė Belousovienė</w:t>
      </w:r>
    </w:p>
    <w:p w14:paraId="55C93311" w14:textId="77777777" w:rsidR="00493508" w:rsidRPr="00493508" w:rsidRDefault="00493508" w:rsidP="00493508">
      <w:pPr>
        <w:pBdr>
          <w:top w:val="nil"/>
          <w:left w:val="nil"/>
          <w:bottom w:val="nil"/>
          <w:right w:val="nil"/>
          <w:between w:val="nil"/>
        </w:pBdr>
        <w:rPr>
          <w:rFonts w:ascii="Times New Roman" w:hAnsi="Times New Roman" w:cs="Times New Roman"/>
          <w:i/>
          <w:lang w:val="lt-LT"/>
        </w:rPr>
      </w:pPr>
      <w:r w:rsidRPr="00493508">
        <w:rPr>
          <w:rFonts w:ascii="Times New Roman" w:hAnsi="Times New Roman" w:cs="Times New Roman"/>
          <w:i/>
          <w:lang w:val="lt-LT"/>
        </w:rPr>
        <w:t>Intensyviosios terapijos klinika, Lietuvos Sveikatos Mokslų Universiteto ligoninė Kauno klinikos, Kaunas, Lietuva</w:t>
      </w:r>
      <w:r w:rsidRPr="00493508">
        <w:rPr>
          <w:rFonts w:ascii="Times New Roman" w:hAnsi="Times New Roman" w:cs="Times New Roman"/>
          <w:i/>
          <w:lang w:val="lt-LT"/>
        </w:rPr>
        <w:br/>
      </w:r>
    </w:p>
    <w:p w14:paraId="22B8FE53"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r w:rsidRPr="00493508">
        <w:rPr>
          <w:rFonts w:ascii="Times New Roman" w:hAnsi="Times New Roman" w:cs="Times New Roman"/>
          <w:b/>
          <w:lang w:val="lt-LT"/>
        </w:rPr>
        <w:t xml:space="preserve">ĮVADAS. </w:t>
      </w:r>
      <w:r w:rsidRPr="00493508">
        <w:rPr>
          <w:rFonts w:ascii="Times New Roman" w:hAnsi="Times New Roman" w:cs="Times New Roman"/>
          <w:lang w:val="lt-LT"/>
        </w:rPr>
        <w:t xml:space="preserve">Insulino intoksikacija – būklė, kuomet organizme yra per didelis insulino kiekis. Tai gali pasireikšti dėl netinkamos insulino dozės sergant cukriniu diabetu arba, dėl tyčinio insulino vartojimo asmenims, kurie perdozuoja insulino dėl </w:t>
      </w:r>
      <w:proofErr w:type="spellStart"/>
      <w:r w:rsidRPr="00493508">
        <w:rPr>
          <w:rFonts w:ascii="Times New Roman" w:hAnsi="Times New Roman" w:cs="Times New Roman"/>
          <w:lang w:val="lt-LT"/>
        </w:rPr>
        <w:t>sucidinių</w:t>
      </w:r>
      <w:proofErr w:type="spellEnd"/>
      <w:r w:rsidRPr="00493508">
        <w:rPr>
          <w:rFonts w:ascii="Times New Roman" w:hAnsi="Times New Roman" w:cs="Times New Roman"/>
          <w:lang w:val="lt-LT"/>
        </w:rPr>
        <w:t xml:space="preserve"> ketinimų. Insulino perdozavimas, gali sukelti sunkią hipoglikemiją, dėl kurios išsivysto hipoglikeminė koma, o laiku nesuteikus pagalbos – smegenų pažeidimas ar mirtis </w:t>
      </w:r>
      <w:sdt>
        <w:sdtPr>
          <w:rPr>
            <w:rFonts w:ascii="Times New Roman" w:hAnsi="Times New Roman" w:cs="Times New Roman"/>
            <w:lang w:val="lt-LT"/>
          </w:rPr>
          <w:tag w:val="MENDELEY_CITATION_v3_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"/>
          <w:id w:val="1014656026"/>
          <w:placeholder>
            <w:docPart w:val="BB014B108A9743E585AE5205E5D53019"/>
          </w:placeholder>
        </w:sdtPr>
        <w:sdtContent>
          <w:r w:rsidRPr="00493508">
            <w:rPr>
              <w:rFonts w:ascii="Times New Roman" w:hAnsi="Times New Roman" w:cs="Times New Roman"/>
              <w:lang w:val="lt-LT"/>
            </w:rPr>
            <w:t>[1]</w:t>
          </w:r>
        </w:sdtContent>
      </w:sdt>
      <w:r w:rsidRPr="00493508">
        <w:rPr>
          <w:rFonts w:ascii="Times New Roman" w:hAnsi="Times New Roman" w:cs="Times New Roman"/>
          <w:lang w:val="lt-LT"/>
        </w:rPr>
        <w:t xml:space="preserve">. Šis klinikinis atvejis yra apie paciento, nesergančio cukriniu diabetu, tačiau pavartojusio didelę dozę insulino </w:t>
      </w:r>
      <w:proofErr w:type="spellStart"/>
      <w:r w:rsidRPr="00493508">
        <w:rPr>
          <w:rFonts w:ascii="Times New Roman" w:hAnsi="Times New Roman" w:cs="Times New Roman"/>
          <w:lang w:val="lt-LT"/>
        </w:rPr>
        <w:t>suicidiniais</w:t>
      </w:r>
      <w:proofErr w:type="spellEnd"/>
      <w:r w:rsidRPr="00493508">
        <w:rPr>
          <w:rFonts w:ascii="Times New Roman" w:hAnsi="Times New Roman" w:cs="Times New Roman"/>
          <w:lang w:val="lt-LT"/>
        </w:rPr>
        <w:t xml:space="preserve"> tikslais, ligos eigą.</w:t>
      </w:r>
    </w:p>
    <w:p w14:paraId="093E4C0F"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p>
    <w:p w14:paraId="2E018641"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r w:rsidRPr="00493508">
        <w:rPr>
          <w:rFonts w:ascii="Times New Roman" w:hAnsi="Times New Roman" w:cs="Times New Roman"/>
          <w:b/>
          <w:bCs/>
          <w:lang w:val="lt-LT"/>
        </w:rPr>
        <w:t xml:space="preserve">KLINIKINIS ATVEJIS. </w:t>
      </w:r>
      <w:bookmarkStart w:id="1" w:name="_Hlk177402863"/>
      <w:r w:rsidRPr="00493508">
        <w:rPr>
          <w:rFonts w:ascii="Times New Roman" w:hAnsi="Times New Roman" w:cs="Times New Roman"/>
          <w:lang w:val="lt-LT"/>
        </w:rPr>
        <w:t xml:space="preserve">Į ligoninę atvežtas 40 metų vyras, kuris bandė nusižudyti, perdozuodamas insulino (1500VV), nors cukrinio diabeto diagnozė anamnezėje nėra fiksuota. Pacientui GMP pradėtas hipoglikemijos gydymas 1 mg </w:t>
      </w:r>
      <w:proofErr w:type="spellStart"/>
      <w:r w:rsidRPr="00493508">
        <w:rPr>
          <w:rFonts w:ascii="Times New Roman" w:hAnsi="Times New Roman" w:cs="Times New Roman"/>
          <w:lang w:val="lt-LT"/>
        </w:rPr>
        <w:t>gliukagonu</w:t>
      </w:r>
      <w:proofErr w:type="spellEnd"/>
      <w:r w:rsidRPr="00493508">
        <w:rPr>
          <w:rFonts w:ascii="Times New Roman" w:hAnsi="Times New Roman" w:cs="Times New Roman"/>
          <w:lang w:val="lt-LT"/>
        </w:rPr>
        <w:t xml:space="preserve"> bei 40% 40 ml gliukozės </w:t>
      </w:r>
      <w:proofErr w:type="spellStart"/>
      <w:r w:rsidRPr="00493508">
        <w:rPr>
          <w:rFonts w:ascii="Times New Roman" w:hAnsi="Times New Roman" w:cs="Times New Roman"/>
          <w:lang w:val="lt-LT"/>
        </w:rPr>
        <w:t>boliusu</w:t>
      </w:r>
      <w:proofErr w:type="spellEnd"/>
      <w:r w:rsidRPr="00493508">
        <w:rPr>
          <w:rFonts w:ascii="Times New Roman" w:hAnsi="Times New Roman" w:cs="Times New Roman"/>
          <w:lang w:val="lt-LT"/>
        </w:rPr>
        <w:t xml:space="preserve">, kadangi nustatytas </w:t>
      </w:r>
      <w:proofErr w:type="spellStart"/>
      <w:r w:rsidRPr="00493508">
        <w:rPr>
          <w:rFonts w:ascii="Times New Roman" w:hAnsi="Times New Roman" w:cs="Times New Roman"/>
          <w:lang w:val="lt-LT"/>
        </w:rPr>
        <w:t>glikemijos</w:t>
      </w:r>
      <w:proofErr w:type="spellEnd"/>
      <w:r w:rsidRPr="00493508">
        <w:rPr>
          <w:rFonts w:ascii="Times New Roman" w:hAnsi="Times New Roman" w:cs="Times New Roman"/>
          <w:lang w:val="lt-LT"/>
        </w:rPr>
        <w:t xml:space="preserve"> kiekis kraujyje siekė 1,4 </w:t>
      </w:r>
      <w:proofErr w:type="spellStart"/>
      <w:r w:rsidRPr="00493508">
        <w:rPr>
          <w:rFonts w:ascii="Times New Roman" w:hAnsi="Times New Roman" w:cs="Times New Roman"/>
          <w:lang w:val="lt-LT"/>
        </w:rPr>
        <w:t>mmol</w:t>
      </w:r>
      <w:proofErr w:type="spellEnd"/>
      <w:r w:rsidRPr="00493508">
        <w:rPr>
          <w:rFonts w:ascii="Times New Roman" w:hAnsi="Times New Roman" w:cs="Times New Roman"/>
          <w:lang w:val="lt-LT"/>
        </w:rPr>
        <w:t xml:space="preserve">/l. Per pirmąsias tris paras pacientas buvo nuolat stebimas ir gydomas intensyviosios terapijos skyriuje dėl hipoglikemijos ir dėl kilusių komplikacijų – </w:t>
      </w:r>
      <w:proofErr w:type="spellStart"/>
      <w:r w:rsidRPr="00493508">
        <w:rPr>
          <w:rFonts w:ascii="Times New Roman" w:hAnsi="Times New Roman" w:cs="Times New Roman"/>
          <w:lang w:val="lt-LT"/>
        </w:rPr>
        <w:t>hipokalemijos</w:t>
      </w:r>
      <w:proofErr w:type="spellEnd"/>
      <w:r w:rsidRPr="00493508">
        <w:rPr>
          <w:rFonts w:ascii="Times New Roman" w:hAnsi="Times New Roman" w:cs="Times New Roman"/>
          <w:lang w:val="lt-LT"/>
        </w:rPr>
        <w:t xml:space="preserve">. Gliukozės kiekis kraujyje buvo </w:t>
      </w:r>
      <w:proofErr w:type="spellStart"/>
      <w:r w:rsidRPr="00493508">
        <w:rPr>
          <w:rFonts w:ascii="Times New Roman" w:hAnsi="Times New Roman" w:cs="Times New Roman"/>
          <w:lang w:val="lt-LT"/>
        </w:rPr>
        <w:t>monitoruojamas</w:t>
      </w:r>
      <w:proofErr w:type="spellEnd"/>
      <w:r w:rsidRPr="00493508">
        <w:rPr>
          <w:rFonts w:ascii="Times New Roman" w:hAnsi="Times New Roman" w:cs="Times New Roman"/>
          <w:lang w:val="lt-LT"/>
        </w:rPr>
        <w:t xml:space="preserve"> 3 paras kas 2-3 valandas, gydymo metu </w:t>
      </w:r>
      <w:proofErr w:type="spellStart"/>
      <w:r w:rsidRPr="00493508">
        <w:rPr>
          <w:rFonts w:ascii="Times New Roman" w:hAnsi="Times New Roman" w:cs="Times New Roman"/>
          <w:lang w:val="lt-LT"/>
        </w:rPr>
        <w:t>glikemija</w:t>
      </w:r>
      <w:proofErr w:type="spellEnd"/>
      <w:r w:rsidRPr="00493508">
        <w:rPr>
          <w:rFonts w:ascii="Times New Roman" w:hAnsi="Times New Roman" w:cs="Times New Roman"/>
          <w:lang w:val="lt-LT"/>
        </w:rPr>
        <w:t xml:space="preserve"> svyravo nuo 1,4 </w:t>
      </w:r>
      <w:proofErr w:type="spellStart"/>
      <w:r w:rsidRPr="00493508">
        <w:rPr>
          <w:rFonts w:ascii="Times New Roman" w:hAnsi="Times New Roman" w:cs="Times New Roman"/>
          <w:lang w:val="lt-LT"/>
        </w:rPr>
        <w:t>mmol</w:t>
      </w:r>
      <w:proofErr w:type="spellEnd"/>
      <w:r w:rsidRPr="00493508">
        <w:rPr>
          <w:rFonts w:ascii="Times New Roman" w:hAnsi="Times New Roman" w:cs="Times New Roman"/>
          <w:lang w:val="lt-LT"/>
        </w:rPr>
        <w:t xml:space="preserve">/l iki 4,6 </w:t>
      </w:r>
      <w:proofErr w:type="spellStart"/>
      <w:r w:rsidRPr="00493508">
        <w:rPr>
          <w:rFonts w:ascii="Times New Roman" w:hAnsi="Times New Roman" w:cs="Times New Roman"/>
          <w:lang w:val="lt-LT"/>
        </w:rPr>
        <w:t>mmol</w:t>
      </w:r>
      <w:proofErr w:type="spellEnd"/>
      <w:r w:rsidRPr="00493508">
        <w:rPr>
          <w:rFonts w:ascii="Times New Roman" w:hAnsi="Times New Roman" w:cs="Times New Roman"/>
          <w:lang w:val="lt-LT"/>
        </w:rPr>
        <w:t xml:space="preserve">/l, kol buvo pasiekta normali gliukozės koncentracija kraujyje. Nepaisant nuolatinės infuzijos 10% gliukozės tirpalu, per šį laikotarpį 4 kartus pasikartojo traukuliai, kuriuos sukėlė staiga sumažėjęs gliukozės kiekis kraujyje. Traukulių epizodai buvo sėkmingai kontroliuojami 40% 40 ml gliukozės tirpalo vienkartiniais </w:t>
      </w:r>
      <w:proofErr w:type="spellStart"/>
      <w:r w:rsidRPr="00493508">
        <w:rPr>
          <w:rFonts w:ascii="Times New Roman" w:hAnsi="Times New Roman" w:cs="Times New Roman"/>
          <w:lang w:val="lt-LT"/>
        </w:rPr>
        <w:t>boliusais</w:t>
      </w:r>
      <w:proofErr w:type="spellEnd"/>
      <w:r w:rsidRPr="00493508">
        <w:rPr>
          <w:rFonts w:ascii="Times New Roman" w:hAnsi="Times New Roman" w:cs="Times New Roman"/>
          <w:lang w:val="lt-LT"/>
        </w:rPr>
        <w:t>. Po trijų parų  gydymo intensyviosios terapijos skyriuje paciento būklė stabilizavosi, gliukozės kiekis kraujyje buvo valdomas, o hipoglikemija bei traukuliai nebesikartojo. Pacientas buvo perkeltas į psichiatrijos skyrių tolesniam stebėjimui bei gydymui po savižudybės bandymo.</w:t>
      </w:r>
      <w:bookmarkEnd w:id="1"/>
    </w:p>
    <w:p w14:paraId="1A341B6C" w14:textId="77777777" w:rsidR="00493508" w:rsidRPr="00493508" w:rsidRDefault="00493508" w:rsidP="00493508">
      <w:pPr>
        <w:pBdr>
          <w:top w:val="nil"/>
          <w:left w:val="nil"/>
          <w:bottom w:val="nil"/>
          <w:right w:val="nil"/>
          <w:between w:val="nil"/>
        </w:pBdr>
        <w:rPr>
          <w:rFonts w:ascii="Times New Roman" w:hAnsi="Times New Roman" w:cs="Times New Roman"/>
          <w:b/>
          <w:lang w:val="lt-LT"/>
        </w:rPr>
      </w:pPr>
    </w:p>
    <w:p w14:paraId="0B8825C3" w14:textId="35F885DC" w:rsidR="00493508" w:rsidRPr="00493508" w:rsidRDefault="00493508" w:rsidP="00493508">
      <w:pPr>
        <w:pBdr>
          <w:top w:val="nil"/>
          <w:left w:val="nil"/>
          <w:bottom w:val="nil"/>
          <w:right w:val="nil"/>
          <w:between w:val="nil"/>
        </w:pBdr>
        <w:rPr>
          <w:rFonts w:ascii="Times New Roman" w:hAnsi="Times New Roman" w:cs="Times New Roman"/>
          <w:bCs/>
          <w:lang w:val="lt-LT"/>
        </w:rPr>
      </w:pPr>
      <w:r w:rsidRPr="00493508">
        <w:rPr>
          <w:rFonts w:ascii="Times New Roman" w:hAnsi="Times New Roman" w:cs="Times New Roman"/>
          <w:b/>
          <w:lang w:val="lt-LT"/>
        </w:rPr>
        <w:t xml:space="preserve">DISKUSIJA. </w:t>
      </w:r>
      <w:r w:rsidRPr="00493508">
        <w:rPr>
          <w:rFonts w:ascii="Times New Roman" w:hAnsi="Times New Roman" w:cs="Times New Roman"/>
          <w:bCs/>
          <w:lang w:val="lt-LT"/>
        </w:rPr>
        <w:t>I</w:t>
      </w:r>
      <w:r w:rsidRPr="00493508">
        <w:rPr>
          <w:rFonts w:ascii="Times New Roman" w:hAnsi="Times New Roman" w:cs="Times New Roman"/>
          <w:lang w:val="lt-LT"/>
        </w:rPr>
        <w:t xml:space="preserve">nsulinas yra svarbus baltyminis hormonas, atliekantis įvairias sintetines ir </w:t>
      </w:r>
      <w:proofErr w:type="spellStart"/>
      <w:r w:rsidRPr="00493508">
        <w:rPr>
          <w:rFonts w:ascii="Times New Roman" w:hAnsi="Times New Roman" w:cs="Times New Roman"/>
          <w:lang w:val="lt-LT"/>
        </w:rPr>
        <w:t>metabolines</w:t>
      </w:r>
      <w:proofErr w:type="spellEnd"/>
      <w:r w:rsidRPr="00493508">
        <w:rPr>
          <w:rFonts w:ascii="Times New Roman" w:hAnsi="Times New Roman" w:cs="Times New Roman"/>
          <w:lang w:val="lt-LT"/>
        </w:rPr>
        <w:t xml:space="preserve"> funkcijas, per didelis kiekis kraujyje gali būti siejamas su hipoglikemija, dėl ko, gali pasireikšti traukuliai ar koma bei kitos komplikacijos, pavyzdžiui, elektrolitų disbalansas.</w:t>
      </w:r>
      <w:r w:rsidRPr="00493508">
        <w:rPr>
          <w:rFonts w:ascii="Times New Roman" w:hAnsi="Times New Roman" w:cs="Times New Roman"/>
          <w:bCs/>
          <w:lang w:val="lt-LT"/>
        </w:rPr>
        <w:t xml:space="preserve"> </w:t>
      </w:r>
      <w:bookmarkStart w:id="2" w:name="_Hlk177203951"/>
      <w:r w:rsidRPr="00493508">
        <w:rPr>
          <w:rFonts w:ascii="Times New Roman" w:hAnsi="Times New Roman" w:cs="Times New Roman"/>
          <w:bCs/>
          <w:lang w:val="lt-LT"/>
        </w:rPr>
        <w:t xml:space="preserve">Insulinas turi įtakos kalio pernašai iš kraujo į ląsteles, todėl yra būtinas kalio sekimas viso gydymo metu. </w:t>
      </w:r>
      <w:proofErr w:type="spellStart"/>
      <w:r w:rsidRPr="00493508">
        <w:rPr>
          <w:rFonts w:ascii="Times New Roman" w:hAnsi="Times New Roman" w:cs="Times New Roman"/>
          <w:bCs/>
          <w:lang w:val="lt-LT"/>
        </w:rPr>
        <w:t>Hipokalemija</w:t>
      </w:r>
      <w:proofErr w:type="spellEnd"/>
      <w:r w:rsidRPr="00493508">
        <w:rPr>
          <w:rFonts w:ascii="Times New Roman" w:hAnsi="Times New Roman" w:cs="Times New Roman"/>
          <w:bCs/>
          <w:lang w:val="lt-LT"/>
        </w:rPr>
        <w:t xml:space="preserve"> gali sąlygoti širdies veiklos, medžiagų apykaitos ir kitų organų funkcijos sutrikimus</w:t>
      </w:r>
      <w:r w:rsidRPr="00493508">
        <w:rPr>
          <w:rFonts w:ascii="Times New Roman" w:hAnsi="Times New Roman" w:cs="Times New Roman"/>
          <w:lang w:val="lt-LT"/>
        </w:rPr>
        <w:t xml:space="preserve"> </w:t>
      </w:r>
      <w:sdt>
        <w:sdtPr>
          <w:rPr>
            <w:rFonts w:ascii="Times New Roman" w:hAnsi="Times New Roman" w:cs="Times New Roman"/>
            <w:lang w:val="lt-LT"/>
          </w:rPr>
          <w:tag w:val="MENDELEY_CITATION_v3_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"/>
          <w:id w:val="397416124"/>
          <w:placeholder>
            <w:docPart w:val="C931989A8C744FCDBE413FAEAC23D9A2"/>
          </w:placeholder>
        </w:sdtPr>
        <w:sdtContent>
          <w:r w:rsidRPr="00493508">
            <w:rPr>
              <w:rFonts w:ascii="Times New Roman" w:hAnsi="Times New Roman" w:cs="Times New Roman"/>
              <w:lang w:val="lt-LT"/>
            </w:rPr>
            <w:t>[2,3]</w:t>
          </w:r>
        </w:sdtContent>
      </w:sdt>
      <w:r w:rsidRPr="00493508">
        <w:rPr>
          <w:rFonts w:ascii="Times New Roman" w:hAnsi="Times New Roman" w:cs="Times New Roman"/>
          <w:bCs/>
          <w:lang w:val="lt-LT"/>
        </w:rPr>
        <w:t>. Ši i</w:t>
      </w:r>
      <w:r w:rsidRPr="00493508">
        <w:rPr>
          <w:rFonts w:ascii="Times New Roman" w:hAnsi="Times New Roman" w:cs="Times New Roman"/>
          <w:lang w:val="lt-LT"/>
        </w:rPr>
        <w:t xml:space="preserve">ntoksikacija reikalauja skubaus ir neretai gyvybę gelbstinčio gydymo. Esant itin žemam gliukozės kiekiui kraujyje pirmo pasirinkimo gydymas – intraveninės gliukozės skyrimas </w:t>
      </w:r>
      <w:proofErr w:type="spellStart"/>
      <w:r w:rsidRPr="00493508">
        <w:rPr>
          <w:rFonts w:ascii="Times New Roman" w:hAnsi="Times New Roman" w:cs="Times New Roman"/>
          <w:lang w:val="lt-LT"/>
        </w:rPr>
        <w:t>boliusu</w:t>
      </w:r>
      <w:proofErr w:type="spellEnd"/>
      <w:r w:rsidRPr="00493508">
        <w:rPr>
          <w:rFonts w:ascii="Times New Roman" w:hAnsi="Times New Roman" w:cs="Times New Roman"/>
          <w:lang w:val="lt-LT"/>
        </w:rPr>
        <w:t xml:space="preserve">, o kaip papildomas gydymas gali būti skiriamas 1 mg </w:t>
      </w:r>
      <w:proofErr w:type="spellStart"/>
      <w:r w:rsidRPr="00493508">
        <w:rPr>
          <w:rFonts w:ascii="Times New Roman" w:hAnsi="Times New Roman" w:cs="Times New Roman"/>
          <w:lang w:val="lt-LT"/>
        </w:rPr>
        <w:t>gliukagono</w:t>
      </w:r>
      <w:proofErr w:type="spellEnd"/>
      <w:r w:rsidRPr="00493508">
        <w:rPr>
          <w:rFonts w:ascii="Times New Roman" w:hAnsi="Times New Roman" w:cs="Times New Roman"/>
          <w:lang w:val="lt-LT"/>
        </w:rPr>
        <w:t xml:space="preserve"> į raumenį, vėliau tęsiant nuolatinę 10% gliukozės tirpalo infuziją. Viso gydymo metu svarbu </w:t>
      </w:r>
      <w:proofErr w:type="spellStart"/>
      <w:r w:rsidRPr="00493508">
        <w:rPr>
          <w:rFonts w:ascii="Times New Roman" w:hAnsi="Times New Roman" w:cs="Times New Roman"/>
          <w:lang w:val="lt-LT"/>
        </w:rPr>
        <w:t>monitoruoti</w:t>
      </w:r>
      <w:proofErr w:type="spellEnd"/>
      <w:r w:rsidRPr="00493508">
        <w:rPr>
          <w:rFonts w:ascii="Times New Roman" w:hAnsi="Times New Roman" w:cs="Times New Roman"/>
          <w:lang w:val="lt-LT"/>
        </w:rPr>
        <w:t xml:space="preserve"> gliukozės kiekį kraujyje bei koreguoti infuzijos greitį </w:t>
      </w:r>
      <w:sdt>
        <w:sdtPr>
          <w:rPr>
            <w:rFonts w:ascii="Times New Roman" w:hAnsi="Times New Roman" w:cs="Times New Roman"/>
            <w:lang w:val="lt-LT"/>
          </w:rPr>
          <w:tag w:val="MENDELEY_CITATION_v3_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"/>
          <w:id w:val="1742755669"/>
          <w:placeholder>
            <w:docPart w:val="C2E5D9220A1744C2BECDDE701E2E3180"/>
          </w:placeholder>
        </w:sdtPr>
        <w:sdtContent>
          <w:r w:rsidRPr="00493508">
            <w:rPr>
              <w:rFonts w:ascii="Times New Roman" w:hAnsi="Times New Roman" w:cs="Times New Roman"/>
              <w:lang w:val="lt-LT"/>
            </w:rPr>
            <w:t>[1]</w:t>
          </w:r>
        </w:sdtContent>
      </w:sdt>
      <w:r w:rsidRPr="00493508">
        <w:rPr>
          <w:rFonts w:ascii="Times New Roman" w:hAnsi="Times New Roman" w:cs="Times New Roman"/>
          <w:lang w:val="lt-LT"/>
        </w:rPr>
        <w:t>.</w:t>
      </w:r>
    </w:p>
    <w:bookmarkEnd w:id="2"/>
    <w:p w14:paraId="6DF645B1" w14:textId="77777777" w:rsidR="00493508" w:rsidRPr="00493508" w:rsidRDefault="00493508" w:rsidP="00493508">
      <w:pPr>
        <w:pBdr>
          <w:top w:val="nil"/>
          <w:left w:val="nil"/>
          <w:bottom w:val="nil"/>
          <w:right w:val="nil"/>
          <w:between w:val="nil"/>
        </w:pBdr>
        <w:rPr>
          <w:rFonts w:ascii="Times New Roman" w:hAnsi="Times New Roman" w:cs="Times New Roman"/>
          <w:b/>
          <w:lang w:val="lt-LT"/>
        </w:rPr>
      </w:pPr>
    </w:p>
    <w:p w14:paraId="011D5B85" w14:textId="5C0CB12F" w:rsidR="00493508" w:rsidRPr="00493508" w:rsidRDefault="00493508" w:rsidP="00493508">
      <w:pPr>
        <w:pBdr>
          <w:top w:val="nil"/>
          <w:left w:val="nil"/>
          <w:bottom w:val="nil"/>
          <w:right w:val="nil"/>
          <w:between w:val="nil"/>
        </w:pBdr>
        <w:rPr>
          <w:rFonts w:ascii="Times New Roman" w:hAnsi="Times New Roman" w:cs="Times New Roman"/>
          <w:bCs/>
          <w:lang w:val="lt-LT"/>
        </w:rPr>
      </w:pPr>
      <w:r w:rsidRPr="00493508">
        <w:rPr>
          <w:rFonts w:ascii="Times New Roman" w:hAnsi="Times New Roman" w:cs="Times New Roman"/>
          <w:b/>
          <w:lang w:val="lt-LT"/>
        </w:rPr>
        <w:t xml:space="preserve">IŠVADOS. </w:t>
      </w:r>
      <w:bookmarkStart w:id="3" w:name="_Hlk177204746"/>
      <w:r w:rsidRPr="00493508">
        <w:rPr>
          <w:rFonts w:ascii="Times New Roman" w:hAnsi="Times New Roman" w:cs="Times New Roman"/>
          <w:lang w:val="lt-LT"/>
        </w:rPr>
        <w:t xml:space="preserve">Šiuo atveju, insulino perdozavusio paciento būklė buvo </w:t>
      </w:r>
      <w:r w:rsidRPr="00493508">
        <w:rPr>
          <w:rFonts w:ascii="Times New Roman" w:hAnsi="Times New Roman" w:cs="Times New Roman"/>
          <w:bCs/>
          <w:lang w:val="lt-LT"/>
        </w:rPr>
        <w:t>sėkmingai stabilizuota po gydymo intensyviosios terapijos skyriuje, apimančio hipoglikemijos valdymą gliukozės infuzijomis bei traukulių kontrolę</w:t>
      </w:r>
      <w:bookmarkEnd w:id="3"/>
      <w:r w:rsidRPr="00493508">
        <w:rPr>
          <w:rFonts w:ascii="Times New Roman" w:hAnsi="Times New Roman" w:cs="Times New Roman"/>
          <w:bCs/>
          <w:lang w:val="lt-LT"/>
        </w:rPr>
        <w:t xml:space="preserve">. </w:t>
      </w:r>
    </w:p>
    <w:p w14:paraId="5E4CC133"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p>
    <w:p w14:paraId="772EB2E2" w14:textId="77777777" w:rsidR="00493508" w:rsidRPr="00493508" w:rsidRDefault="00493508" w:rsidP="00493508">
      <w:pPr>
        <w:pBdr>
          <w:top w:val="nil"/>
          <w:left w:val="nil"/>
          <w:bottom w:val="nil"/>
          <w:right w:val="nil"/>
          <w:between w:val="nil"/>
        </w:pBdr>
        <w:rPr>
          <w:rFonts w:ascii="Times New Roman" w:hAnsi="Times New Roman" w:cs="Times New Roman"/>
          <w:b/>
          <w:lang w:val="lt-LT"/>
        </w:rPr>
      </w:pPr>
    </w:p>
    <w:p w14:paraId="419CB119" w14:textId="1BDC8D8A" w:rsidR="00493508" w:rsidRPr="00493508" w:rsidRDefault="00493508" w:rsidP="00493508">
      <w:pPr>
        <w:pBdr>
          <w:top w:val="nil"/>
          <w:left w:val="nil"/>
          <w:bottom w:val="nil"/>
          <w:right w:val="nil"/>
          <w:between w:val="nil"/>
        </w:pBdr>
        <w:rPr>
          <w:rFonts w:ascii="Times New Roman" w:hAnsi="Times New Roman" w:cs="Times New Roman"/>
          <w:b/>
          <w:lang w:val="lt-LT"/>
        </w:rPr>
      </w:pPr>
      <w:r w:rsidRPr="00493508">
        <w:rPr>
          <w:rFonts w:ascii="Times New Roman" w:hAnsi="Times New Roman" w:cs="Times New Roman"/>
          <w:b/>
          <w:lang w:val="lt-LT"/>
        </w:rPr>
        <w:lastRenderedPageBreak/>
        <w:t>ŠALTINIAI</w:t>
      </w:r>
    </w:p>
    <w:sdt>
      <w:sdtPr>
        <w:rPr>
          <w:rFonts w:ascii="Times New Roman" w:hAnsi="Times New Roman" w:cs="Times New Roman"/>
          <w:lang w:val="lt-LT"/>
        </w:rPr>
        <w:tag w:val="MENDELEY_BIBLIOGRAPHY"/>
        <w:id w:val="-2114202755"/>
        <w:placeholder>
          <w:docPart w:val="C2E5D9220A1744C2BECDDE701E2E3180"/>
        </w:placeholder>
      </w:sdtPr>
      <w:sdtContent>
        <w:p w14:paraId="3342DCC8"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r w:rsidRPr="00493508">
            <w:rPr>
              <w:rFonts w:ascii="Times New Roman" w:hAnsi="Times New Roman" w:cs="Times New Roman"/>
              <w:lang w:val="lt-LT"/>
            </w:rPr>
            <w:t xml:space="preserve">1. </w:t>
          </w:r>
          <w:r w:rsidRPr="00493508">
            <w:rPr>
              <w:rFonts w:ascii="Times New Roman" w:hAnsi="Times New Roman" w:cs="Times New Roman"/>
              <w:lang w:val="lt-LT"/>
            </w:rPr>
            <w:tab/>
          </w:r>
          <w:proofErr w:type="spellStart"/>
          <w:r w:rsidRPr="00493508">
            <w:rPr>
              <w:rFonts w:ascii="Times New Roman" w:hAnsi="Times New Roman" w:cs="Times New Roman"/>
              <w:lang w:val="lt-LT"/>
            </w:rPr>
            <w:t>Johansen</w:t>
          </w:r>
          <w:proofErr w:type="spellEnd"/>
          <w:r w:rsidRPr="00493508">
            <w:rPr>
              <w:rFonts w:ascii="Times New Roman" w:hAnsi="Times New Roman" w:cs="Times New Roman"/>
              <w:lang w:val="lt-LT"/>
            </w:rPr>
            <w:t xml:space="preserve"> NJ, </w:t>
          </w:r>
          <w:proofErr w:type="spellStart"/>
          <w:r w:rsidRPr="00493508">
            <w:rPr>
              <w:rFonts w:ascii="Times New Roman" w:hAnsi="Times New Roman" w:cs="Times New Roman"/>
              <w:lang w:val="lt-LT"/>
            </w:rPr>
            <w:t>Christensen</w:t>
          </w:r>
          <w:proofErr w:type="spellEnd"/>
          <w:r w:rsidRPr="00493508">
            <w:rPr>
              <w:rFonts w:ascii="Times New Roman" w:hAnsi="Times New Roman" w:cs="Times New Roman"/>
              <w:lang w:val="lt-LT"/>
            </w:rPr>
            <w:t xml:space="preserve"> MB. A </w:t>
          </w:r>
          <w:proofErr w:type="spellStart"/>
          <w:r w:rsidRPr="00493508">
            <w:rPr>
              <w:rFonts w:ascii="Times New Roman" w:hAnsi="Times New Roman" w:cs="Times New Roman"/>
              <w:lang w:val="lt-LT"/>
            </w:rPr>
            <w:t>Systematic</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Review</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on</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Insulin</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Overdose</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Cases</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Clinical</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Course</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Complications</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and</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Treatment</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Options</w:t>
          </w:r>
          <w:proofErr w:type="spellEnd"/>
          <w:r w:rsidRPr="00493508">
            <w:rPr>
              <w:rFonts w:ascii="Times New Roman" w:hAnsi="Times New Roman" w:cs="Times New Roman"/>
              <w:lang w:val="lt-LT"/>
            </w:rPr>
            <w:t xml:space="preserve">. Basic </w:t>
          </w:r>
          <w:proofErr w:type="spellStart"/>
          <w:r w:rsidRPr="00493508">
            <w:rPr>
              <w:rFonts w:ascii="Times New Roman" w:hAnsi="Times New Roman" w:cs="Times New Roman"/>
              <w:lang w:val="lt-LT"/>
            </w:rPr>
            <w:t>Clin</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Pharmacol</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Toxicol</w:t>
          </w:r>
          <w:proofErr w:type="spellEnd"/>
          <w:r w:rsidRPr="00493508">
            <w:rPr>
              <w:rFonts w:ascii="Times New Roman" w:hAnsi="Times New Roman" w:cs="Times New Roman"/>
              <w:lang w:val="lt-LT"/>
            </w:rPr>
            <w:t xml:space="preserve"> [Internet]. 2018 </w:t>
          </w:r>
          <w:proofErr w:type="spellStart"/>
          <w:r w:rsidRPr="00493508">
            <w:rPr>
              <w:rFonts w:ascii="Times New Roman" w:hAnsi="Times New Roman" w:cs="Times New Roman"/>
              <w:lang w:val="lt-LT"/>
            </w:rPr>
            <w:t>Jun</w:t>
          </w:r>
          <w:proofErr w:type="spellEnd"/>
          <w:r w:rsidRPr="00493508">
            <w:rPr>
              <w:rFonts w:ascii="Times New Roman" w:hAnsi="Times New Roman" w:cs="Times New Roman"/>
              <w:lang w:val="lt-LT"/>
            </w:rPr>
            <w:t xml:space="preserve"> 1 [</w:t>
          </w:r>
          <w:proofErr w:type="spellStart"/>
          <w:r w:rsidRPr="00493508">
            <w:rPr>
              <w:rFonts w:ascii="Times New Roman" w:hAnsi="Times New Roman" w:cs="Times New Roman"/>
              <w:lang w:val="lt-LT"/>
            </w:rPr>
            <w:t>cited</w:t>
          </w:r>
          <w:proofErr w:type="spellEnd"/>
          <w:r w:rsidRPr="00493508">
            <w:rPr>
              <w:rFonts w:ascii="Times New Roman" w:hAnsi="Times New Roman" w:cs="Times New Roman"/>
              <w:lang w:val="lt-LT"/>
            </w:rPr>
            <w:t xml:space="preserve"> 2024 </w:t>
          </w:r>
          <w:proofErr w:type="spellStart"/>
          <w:r w:rsidRPr="00493508">
            <w:rPr>
              <w:rFonts w:ascii="Times New Roman" w:hAnsi="Times New Roman" w:cs="Times New Roman"/>
              <w:lang w:val="lt-LT"/>
            </w:rPr>
            <w:t>Sep</w:t>
          </w:r>
          <w:proofErr w:type="spellEnd"/>
          <w:r w:rsidRPr="00493508">
            <w:rPr>
              <w:rFonts w:ascii="Times New Roman" w:hAnsi="Times New Roman" w:cs="Times New Roman"/>
              <w:lang w:val="lt-LT"/>
            </w:rPr>
            <w:t xml:space="preserve"> 14];122(6):650–9. </w:t>
          </w:r>
          <w:proofErr w:type="spellStart"/>
          <w:r w:rsidRPr="00493508">
            <w:rPr>
              <w:rFonts w:ascii="Times New Roman" w:hAnsi="Times New Roman" w:cs="Times New Roman"/>
              <w:lang w:val="lt-LT"/>
            </w:rPr>
            <w:t>Available</w:t>
          </w:r>
          <w:proofErr w:type="spellEnd"/>
          <w:r w:rsidRPr="00493508">
            <w:rPr>
              <w:rFonts w:ascii="Times New Roman" w:hAnsi="Times New Roman" w:cs="Times New Roman"/>
              <w:lang w:val="lt-LT"/>
            </w:rPr>
            <w:t xml:space="preserve"> from: https://pubmed.ncbi.nlm.nih.gov/29316226/</w:t>
          </w:r>
        </w:p>
        <w:p w14:paraId="271CB030"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r w:rsidRPr="00493508">
            <w:rPr>
              <w:rFonts w:ascii="Times New Roman" w:hAnsi="Times New Roman" w:cs="Times New Roman"/>
              <w:lang w:val="lt-LT"/>
            </w:rPr>
            <w:t xml:space="preserve">2. </w:t>
          </w:r>
          <w:r w:rsidRPr="00493508">
            <w:rPr>
              <w:rFonts w:ascii="Times New Roman" w:hAnsi="Times New Roman" w:cs="Times New Roman"/>
              <w:lang w:val="lt-LT"/>
            </w:rPr>
            <w:tab/>
          </w:r>
          <w:proofErr w:type="spellStart"/>
          <w:r w:rsidRPr="00493508">
            <w:rPr>
              <w:rFonts w:ascii="Times New Roman" w:hAnsi="Times New Roman" w:cs="Times New Roman"/>
              <w:lang w:val="lt-LT"/>
            </w:rPr>
            <w:t>Yuan</w:t>
          </w:r>
          <w:proofErr w:type="spellEnd"/>
          <w:r w:rsidRPr="00493508">
            <w:rPr>
              <w:rFonts w:ascii="Times New Roman" w:hAnsi="Times New Roman" w:cs="Times New Roman"/>
              <w:lang w:val="lt-LT"/>
            </w:rPr>
            <w:t xml:space="preserve"> Y, </w:t>
          </w:r>
          <w:proofErr w:type="spellStart"/>
          <w:r w:rsidRPr="00493508">
            <w:rPr>
              <w:rFonts w:ascii="Times New Roman" w:hAnsi="Times New Roman" w:cs="Times New Roman"/>
              <w:lang w:val="lt-LT"/>
            </w:rPr>
            <w:t>Yu</w:t>
          </w:r>
          <w:proofErr w:type="spellEnd"/>
          <w:r w:rsidRPr="00493508">
            <w:rPr>
              <w:rFonts w:ascii="Times New Roman" w:hAnsi="Times New Roman" w:cs="Times New Roman"/>
              <w:lang w:val="lt-LT"/>
            </w:rPr>
            <w:t xml:space="preserve"> Z, </w:t>
          </w:r>
          <w:proofErr w:type="spellStart"/>
          <w:r w:rsidRPr="00493508">
            <w:rPr>
              <w:rFonts w:ascii="Times New Roman" w:hAnsi="Times New Roman" w:cs="Times New Roman"/>
              <w:lang w:val="lt-LT"/>
            </w:rPr>
            <w:t>Tong</w:t>
          </w:r>
          <w:proofErr w:type="spellEnd"/>
          <w:r w:rsidRPr="00493508">
            <w:rPr>
              <w:rFonts w:ascii="Times New Roman" w:hAnsi="Times New Roman" w:cs="Times New Roman"/>
              <w:lang w:val="lt-LT"/>
            </w:rPr>
            <w:t xml:space="preserve"> F, </w:t>
          </w:r>
          <w:proofErr w:type="spellStart"/>
          <w:r w:rsidRPr="00493508">
            <w:rPr>
              <w:rFonts w:ascii="Times New Roman" w:hAnsi="Times New Roman" w:cs="Times New Roman"/>
              <w:lang w:val="lt-LT"/>
            </w:rPr>
            <w:t>Zhao</w:t>
          </w:r>
          <w:proofErr w:type="spellEnd"/>
          <w:r w:rsidRPr="00493508">
            <w:rPr>
              <w:rFonts w:ascii="Times New Roman" w:hAnsi="Times New Roman" w:cs="Times New Roman"/>
              <w:lang w:val="lt-LT"/>
            </w:rPr>
            <w:t xml:space="preserve"> S, </w:t>
          </w:r>
          <w:proofErr w:type="spellStart"/>
          <w:r w:rsidRPr="00493508">
            <w:rPr>
              <w:rFonts w:ascii="Times New Roman" w:hAnsi="Times New Roman" w:cs="Times New Roman"/>
              <w:lang w:val="lt-LT"/>
            </w:rPr>
            <w:t>Li</w:t>
          </w:r>
          <w:proofErr w:type="spellEnd"/>
          <w:r w:rsidRPr="00493508">
            <w:rPr>
              <w:rFonts w:ascii="Times New Roman" w:hAnsi="Times New Roman" w:cs="Times New Roman"/>
              <w:lang w:val="lt-LT"/>
            </w:rPr>
            <w:t xml:space="preserve"> Y, </w:t>
          </w:r>
          <w:proofErr w:type="spellStart"/>
          <w:r w:rsidRPr="00493508">
            <w:rPr>
              <w:rFonts w:ascii="Times New Roman" w:hAnsi="Times New Roman" w:cs="Times New Roman"/>
              <w:lang w:val="lt-LT"/>
            </w:rPr>
            <w:t>Shi</w:t>
          </w:r>
          <w:proofErr w:type="spellEnd"/>
          <w:r w:rsidRPr="00493508">
            <w:rPr>
              <w:rFonts w:ascii="Times New Roman" w:hAnsi="Times New Roman" w:cs="Times New Roman"/>
              <w:lang w:val="lt-LT"/>
            </w:rPr>
            <w:t xml:space="preserve"> Q, et al. A </w:t>
          </w:r>
          <w:proofErr w:type="spellStart"/>
          <w:r w:rsidRPr="00493508">
            <w:rPr>
              <w:rFonts w:ascii="Times New Roman" w:hAnsi="Times New Roman" w:cs="Times New Roman"/>
              <w:lang w:val="lt-LT"/>
            </w:rPr>
            <w:t>retrospective</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study</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of</w:t>
          </w:r>
          <w:proofErr w:type="spellEnd"/>
          <w:r w:rsidRPr="00493508">
            <w:rPr>
              <w:rFonts w:ascii="Times New Roman" w:hAnsi="Times New Roman" w:cs="Times New Roman"/>
              <w:lang w:val="lt-LT"/>
            </w:rPr>
            <w:t xml:space="preserve"> 29 </w:t>
          </w:r>
          <w:proofErr w:type="spellStart"/>
          <w:r w:rsidRPr="00493508">
            <w:rPr>
              <w:rFonts w:ascii="Times New Roman" w:hAnsi="Times New Roman" w:cs="Times New Roman"/>
              <w:lang w:val="lt-LT"/>
            </w:rPr>
            <w:t>fatal</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cases</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of</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insulin</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overdose</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Forensic</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Sci</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Int</w:t>
          </w:r>
          <w:proofErr w:type="spellEnd"/>
          <w:r w:rsidRPr="00493508">
            <w:rPr>
              <w:rFonts w:ascii="Times New Roman" w:hAnsi="Times New Roman" w:cs="Times New Roman"/>
              <w:lang w:val="lt-LT"/>
            </w:rPr>
            <w:t xml:space="preserve">. 2024 </w:t>
          </w:r>
          <w:proofErr w:type="spellStart"/>
          <w:r w:rsidRPr="00493508">
            <w:rPr>
              <w:rFonts w:ascii="Times New Roman" w:hAnsi="Times New Roman" w:cs="Times New Roman"/>
              <w:lang w:val="lt-LT"/>
            </w:rPr>
            <w:t>Aug</w:t>
          </w:r>
          <w:proofErr w:type="spellEnd"/>
          <w:r w:rsidRPr="00493508">
            <w:rPr>
              <w:rFonts w:ascii="Times New Roman" w:hAnsi="Times New Roman" w:cs="Times New Roman"/>
              <w:lang w:val="lt-LT"/>
            </w:rPr>
            <w:t xml:space="preserve"> 1;361:112126. </w:t>
          </w:r>
        </w:p>
        <w:p w14:paraId="129FD883"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r w:rsidRPr="00493508">
            <w:rPr>
              <w:rFonts w:ascii="Times New Roman" w:hAnsi="Times New Roman" w:cs="Times New Roman"/>
              <w:lang w:val="lt-LT"/>
            </w:rPr>
            <w:t xml:space="preserve">3. </w:t>
          </w:r>
          <w:r w:rsidRPr="00493508">
            <w:rPr>
              <w:rFonts w:ascii="Times New Roman" w:hAnsi="Times New Roman" w:cs="Times New Roman"/>
              <w:lang w:val="lt-LT"/>
            </w:rPr>
            <w:tab/>
            <w:t xml:space="preserve">EFRIMESCU CI, YAGOUB E, DOYLE R. </w:t>
          </w:r>
          <w:proofErr w:type="spellStart"/>
          <w:r w:rsidRPr="00493508">
            <w:rPr>
              <w:rFonts w:ascii="Times New Roman" w:hAnsi="Times New Roman" w:cs="Times New Roman"/>
              <w:lang w:val="lt-LT"/>
            </w:rPr>
            <w:t>Intentional</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Insulin</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Overdose</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Associated</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with</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Minimal</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Hypoglycemic</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Symptoms</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in</w:t>
          </w:r>
          <w:proofErr w:type="spellEnd"/>
          <w:r w:rsidRPr="00493508">
            <w:rPr>
              <w:rFonts w:ascii="Times New Roman" w:hAnsi="Times New Roman" w:cs="Times New Roman"/>
              <w:lang w:val="lt-LT"/>
            </w:rPr>
            <w:t xml:space="preserve"> a </w:t>
          </w:r>
          <w:proofErr w:type="spellStart"/>
          <w:r w:rsidRPr="00493508">
            <w:rPr>
              <w:rFonts w:ascii="Times New Roman" w:hAnsi="Times New Roman" w:cs="Times New Roman"/>
              <w:lang w:val="lt-LT"/>
            </w:rPr>
            <w:t>Non-Diabetic</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Patient</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Maedica</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Bucur</w:t>
          </w:r>
          <w:proofErr w:type="spellEnd"/>
          <w:r w:rsidRPr="00493508">
            <w:rPr>
              <w:rFonts w:ascii="Times New Roman" w:hAnsi="Times New Roman" w:cs="Times New Roman"/>
              <w:lang w:val="lt-LT"/>
            </w:rPr>
            <w:t xml:space="preserve">) [Internet]. 2013 </w:t>
          </w:r>
          <w:proofErr w:type="spellStart"/>
          <w:r w:rsidRPr="00493508">
            <w:rPr>
              <w:rFonts w:ascii="Times New Roman" w:hAnsi="Times New Roman" w:cs="Times New Roman"/>
              <w:lang w:val="lt-LT"/>
            </w:rPr>
            <w:t>Sep</w:t>
          </w:r>
          <w:proofErr w:type="spellEnd"/>
          <w:r w:rsidRPr="00493508">
            <w:rPr>
              <w:rFonts w:ascii="Times New Roman" w:hAnsi="Times New Roman" w:cs="Times New Roman"/>
              <w:lang w:val="lt-LT"/>
            </w:rPr>
            <w:t xml:space="preserve"> [</w:t>
          </w:r>
          <w:proofErr w:type="spellStart"/>
          <w:r w:rsidRPr="00493508">
            <w:rPr>
              <w:rFonts w:ascii="Times New Roman" w:hAnsi="Times New Roman" w:cs="Times New Roman"/>
              <w:lang w:val="lt-LT"/>
            </w:rPr>
            <w:t>cited</w:t>
          </w:r>
          <w:proofErr w:type="spellEnd"/>
          <w:r w:rsidRPr="00493508">
            <w:rPr>
              <w:rFonts w:ascii="Times New Roman" w:hAnsi="Times New Roman" w:cs="Times New Roman"/>
              <w:lang w:val="lt-LT"/>
            </w:rPr>
            <w:t xml:space="preserve"> 2024 </w:t>
          </w:r>
          <w:proofErr w:type="spellStart"/>
          <w:r w:rsidRPr="00493508">
            <w:rPr>
              <w:rFonts w:ascii="Times New Roman" w:hAnsi="Times New Roman" w:cs="Times New Roman"/>
              <w:lang w:val="lt-LT"/>
            </w:rPr>
            <w:t>Sep</w:t>
          </w:r>
          <w:proofErr w:type="spellEnd"/>
          <w:r w:rsidRPr="00493508">
            <w:rPr>
              <w:rFonts w:ascii="Times New Roman" w:hAnsi="Times New Roman" w:cs="Times New Roman"/>
              <w:lang w:val="lt-LT"/>
            </w:rPr>
            <w:t xml:space="preserve"> 14];8(4):365. </w:t>
          </w:r>
          <w:proofErr w:type="spellStart"/>
          <w:r w:rsidRPr="00493508">
            <w:rPr>
              <w:rFonts w:ascii="Times New Roman" w:hAnsi="Times New Roman" w:cs="Times New Roman"/>
              <w:lang w:val="lt-LT"/>
            </w:rPr>
            <w:t>Available</w:t>
          </w:r>
          <w:proofErr w:type="spellEnd"/>
          <w:r w:rsidRPr="00493508">
            <w:rPr>
              <w:rFonts w:ascii="Times New Roman" w:hAnsi="Times New Roman" w:cs="Times New Roman"/>
              <w:lang w:val="lt-LT"/>
            </w:rPr>
            <w:t xml:space="preserve"> from: /</w:t>
          </w:r>
          <w:proofErr w:type="spellStart"/>
          <w:r w:rsidRPr="00493508">
            <w:rPr>
              <w:rFonts w:ascii="Times New Roman" w:hAnsi="Times New Roman" w:cs="Times New Roman"/>
              <w:lang w:val="lt-LT"/>
            </w:rPr>
            <w:t>pmc</w:t>
          </w:r>
          <w:proofErr w:type="spellEnd"/>
          <w:r w:rsidRPr="00493508">
            <w:rPr>
              <w:rFonts w:ascii="Times New Roman" w:hAnsi="Times New Roman" w:cs="Times New Roman"/>
              <w:lang w:val="lt-LT"/>
            </w:rPr>
            <w:t>/</w:t>
          </w:r>
          <w:proofErr w:type="spellStart"/>
          <w:r w:rsidRPr="00493508">
            <w:rPr>
              <w:rFonts w:ascii="Times New Roman" w:hAnsi="Times New Roman" w:cs="Times New Roman"/>
              <w:lang w:val="lt-LT"/>
            </w:rPr>
            <w:t>articles</w:t>
          </w:r>
          <w:proofErr w:type="spellEnd"/>
          <w:r w:rsidRPr="00493508">
            <w:rPr>
              <w:rFonts w:ascii="Times New Roman" w:hAnsi="Times New Roman" w:cs="Times New Roman"/>
              <w:lang w:val="lt-LT"/>
            </w:rPr>
            <w:t>/PMC3968474/</w:t>
          </w:r>
        </w:p>
        <w:p w14:paraId="1941E07A" w14:textId="77777777" w:rsidR="00493508" w:rsidRPr="00493508" w:rsidRDefault="00493508" w:rsidP="00493508">
          <w:pPr>
            <w:pBdr>
              <w:top w:val="nil"/>
              <w:left w:val="nil"/>
              <w:bottom w:val="nil"/>
              <w:right w:val="nil"/>
              <w:between w:val="nil"/>
            </w:pBdr>
            <w:rPr>
              <w:rFonts w:ascii="Times New Roman" w:hAnsi="Times New Roman" w:cs="Times New Roman"/>
              <w:lang w:val="lt-LT"/>
            </w:rPr>
          </w:pPr>
          <w:r w:rsidRPr="00493508">
            <w:rPr>
              <w:rFonts w:ascii="Times New Roman" w:hAnsi="Times New Roman" w:cs="Times New Roman"/>
              <w:lang w:val="lt-LT"/>
            </w:rPr>
            <w:t> </w:t>
          </w:r>
        </w:p>
      </w:sdtContent>
    </w:sdt>
    <w:p w14:paraId="6E62BEB9" w14:textId="55917A71" w:rsidR="00493508" w:rsidRPr="00493508" w:rsidRDefault="00493508">
      <w:pPr>
        <w:rPr>
          <w:rFonts w:ascii="Times New Roman" w:hAnsi="Times New Roman" w:cs="Times New Roman"/>
        </w:rPr>
      </w:pPr>
      <w:r w:rsidRPr="00493508">
        <w:rPr>
          <w:rFonts w:ascii="Times New Roman" w:hAnsi="Times New Roman" w:cs="Times New Roman"/>
        </w:rPr>
        <w:br w:type="page"/>
      </w:r>
    </w:p>
    <w:p w14:paraId="6DF42456" w14:textId="51E3DBB2" w:rsidR="00493508" w:rsidRPr="00493508" w:rsidRDefault="00493508" w:rsidP="00493508">
      <w:pPr>
        <w:pBdr>
          <w:top w:val="nil"/>
          <w:left w:val="nil"/>
          <w:bottom w:val="nil"/>
          <w:right w:val="nil"/>
          <w:between w:val="nil"/>
        </w:pBdr>
        <w:jc w:val="center"/>
        <w:rPr>
          <w:rFonts w:ascii="Times New Roman" w:hAnsi="Times New Roman" w:cs="Times New Roman"/>
          <w:b/>
          <w:bCs/>
          <w:lang w:val="en-US"/>
        </w:rPr>
      </w:pPr>
      <w:r w:rsidRPr="00493508">
        <w:rPr>
          <w:rFonts w:ascii="Times New Roman" w:hAnsi="Times New Roman" w:cs="Times New Roman"/>
          <w:b/>
          <w:bCs/>
          <w:sz w:val="28"/>
          <w:szCs w:val="28"/>
          <w:lang w:val="en-US"/>
        </w:rPr>
        <w:lastRenderedPageBreak/>
        <w:br/>
      </w:r>
      <w:r w:rsidRPr="00493508">
        <w:rPr>
          <w:rFonts w:ascii="Times New Roman" w:hAnsi="Times New Roman" w:cs="Times New Roman"/>
          <w:b/>
          <w:bCs/>
          <w:lang w:val="en-US"/>
        </w:rPr>
        <w:t>HEMODYNAMIC RESPONSIVENESS AFTER REMOTE ISCHEMIC CONDITIONING IN PATIENTS AFTER LIVER TRANSPLANTATION</w:t>
      </w:r>
      <w:r w:rsidRPr="00493508">
        <w:rPr>
          <w:rFonts w:ascii="Times New Roman" w:hAnsi="Times New Roman" w:cs="Times New Roman"/>
          <w:b/>
          <w:bCs/>
          <w:lang w:val="en-US"/>
        </w:rPr>
        <w:br/>
      </w:r>
    </w:p>
    <w:p w14:paraId="4A22F532"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b/>
          <w:bCs/>
          <w:lang w:val="en-US"/>
        </w:rPr>
        <w:t xml:space="preserve">Lolita </w:t>
      </w:r>
      <w:proofErr w:type="spellStart"/>
      <w:r w:rsidRPr="00493508">
        <w:rPr>
          <w:rFonts w:ascii="Times New Roman" w:hAnsi="Times New Roman" w:cs="Times New Roman"/>
          <w:b/>
          <w:bCs/>
          <w:lang w:val="en-US"/>
        </w:rPr>
        <w:t>Grygalytė</w:t>
      </w:r>
      <w:proofErr w:type="spellEnd"/>
      <w:r w:rsidRPr="00493508">
        <w:rPr>
          <w:rFonts w:ascii="Times New Roman" w:hAnsi="Times New Roman" w:cs="Times New Roman"/>
          <w:lang w:val="en-US"/>
        </w:rPr>
        <w:t xml:space="preserve">, Tautvydas Baranauskas, Dominyka </w:t>
      </w:r>
      <w:proofErr w:type="spellStart"/>
      <w:r w:rsidRPr="00493508">
        <w:rPr>
          <w:rFonts w:ascii="Times New Roman" w:hAnsi="Times New Roman" w:cs="Times New Roman"/>
          <w:lang w:val="en-US"/>
        </w:rPr>
        <w:t>Martinelytė</w:t>
      </w:r>
      <w:proofErr w:type="spellEnd"/>
      <w:r w:rsidRPr="00493508">
        <w:rPr>
          <w:rFonts w:ascii="Times New Roman" w:hAnsi="Times New Roman" w:cs="Times New Roman"/>
          <w:lang w:val="en-US"/>
        </w:rPr>
        <w:t xml:space="preserve">, Tomas Tamošuitis, Andrius </w:t>
      </w:r>
      <w:proofErr w:type="spellStart"/>
      <w:r w:rsidRPr="00493508">
        <w:rPr>
          <w:rFonts w:ascii="Times New Roman" w:hAnsi="Times New Roman" w:cs="Times New Roman"/>
          <w:lang w:val="en-US"/>
        </w:rPr>
        <w:t>Pranskūnas</w:t>
      </w:r>
      <w:proofErr w:type="spellEnd"/>
    </w:p>
    <w:p w14:paraId="3A25660B"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lang w:val="en-US"/>
        </w:rPr>
        <w:t xml:space="preserve">Department of Intensive care medicine, Lithuanian university of health sciences, </w:t>
      </w:r>
      <w:r w:rsidRPr="00493508">
        <w:rPr>
          <w:rFonts w:ascii="Times New Roman" w:hAnsi="Times New Roman" w:cs="Times New Roman"/>
        </w:rPr>
        <w:t>Kaunas, Lithuania</w:t>
      </w:r>
    </w:p>
    <w:p w14:paraId="47C87688"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p>
    <w:p w14:paraId="707824A2" w14:textId="77777777" w:rsidR="00493508" w:rsidRPr="00493508" w:rsidRDefault="00493508" w:rsidP="00493508">
      <w:pPr>
        <w:pBdr>
          <w:top w:val="nil"/>
          <w:left w:val="nil"/>
          <w:bottom w:val="nil"/>
          <w:right w:val="nil"/>
          <w:between w:val="nil"/>
        </w:pBdr>
        <w:rPr>
          <w:rFonts w:ascii="Times New Roman" w:hAnsi="Times New Roman" w:cs="Times New Roman"/>
          <w:b/>
          <w:bCs/>
          <w:lang w:val="en-US"/>
        </w:rPr>
      </w:pPr>
      <w:r w:rsidRPr="00493508">
        <w:rPr>
          <w:rFonts w:ascii="Times New Roman" w:hAnsi="Times New Roman" w:cs="Times New Roman"/>
          <w:b/>
          <w:bCs/>
          <w:lang w:val="en-US"/>
        </w:rPr>
        <w:t>Introduction</w:t>
      </w:r>
    </w:p>
    <w:p w14:paraId="4C2243E7"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rPr>
        <w:t>Remote ischemic conditioning (RIC) is a technique that involves subjecting tissues or organs to intermittent periods of ischemia and reperfusion, thereby inducing protective effects on distant target organs. RIC has been evaluated in various clinical contexts, such as cardiac surgery, stroke, sepsis, and renal transplantation, and has demonstrated potential benefits in enhancing organ protection and improving patient outcomes</w:t>
      </w:r>
      <w:r w:rsidRPr="00493508">
        <w:rPr>
          <w:rFonts w:ascii="Times New Roman" w:hAnsi="Times New Roman" w:cs="Times New Roman"/>
          <w:lang w:val="en-US"/>
        </w:rPr>
        <w:t xml:space="preserve"> </w:t>
      </w:r>
      <w:sdt>
        <w:sdtPr>
          <w:rPr>
            <w:rFonts w:ascii="Times New Roman" w:hAnsi="Times New Roman" w:cs="Times New Roman"/>
            <w:lang w:val="en-US"/>
          </w:rPr>
          <w:tag w:val="MENDELEY_CITATION_v3_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"/>
          <w:id w:val="535635762"/>
          <w:placeholder>
            <w:docPart w:val="B1301FF7AA7D414C88751EE36189ED3A"/>
          </w:placeholder>
        </w:sdtPr>
        <w:sdtContent>
          <w:r w:rsidRPr="00493508">
            <w:rPr>
              <w:rFonts w:ascii="Times New Roman" w:hAnsi="Times New Roman" w:cs="Times New Roman"/>
              <w:lang w:val="en-US"/>
            </w:rPr>
            <w:t>(1,2)</w:t>
          </w:r>
        </w:sdtContent>
      </w:sdt>
      <w:r w:rsidRPr="00493508">
        <w:rPr>
          <w:rFonts w:ascii="Times New Roman" w:hAnsi="Times New Roman" w:cs="Times New Roman"/>
          <w:lang w:val="en-US"/>
        </w:rPr>
        <w:t xml:space="preserve">. </w:t>
      </w:r>
      <w:r w:rsidRPr="00493508">
        <w:rPr>
          <w:rFonts w:ascii="Times New Roman" w:hAnsi="Times New Roman" w:cs="Times New Roman"/>
        </w:rPr>
        <w:t>RICs may have a modulating effect on both parasympathetic and sympathetic autonomic nervous system, has the potential to improve endothelial function (3,4). However, it is not clear to what extent this is clinically relevant in patients after liver transplantation, especially in determining their hemodynamic responsiveness.</w:t>
      </w:r>
      <w:r w:rsidRPr="00493508">
        <w:rPr>
          <w:rFonts w:ascii="Times New Roman" w:hAnsi="Times New Roman" w:cs="Times New Roman"/>
          <w:lang w:val="en-US"/>
        </w:rPr>
        <w:t xml:space="preserve"> In clinical practice, the passive leg raising (PLR) as a test of hemodynamic responsiveness is used to determine fluid responsiveness. The objective of this study was to evaluate the hemodynamic response to PLR before and after RIC.</w:t>
      </w:r>
    </w:p>
    <w:p w14:paraId="753768B1"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p>
    <w:p w14:paraId="5993C1DE" w14:textId="77777777" w:rsidR="00493508" w:rsidRPr="00493508" w:rsidRDefault="00493508" w:rsidP="00493508">
      <w:pPr>
        <w:pBdr>
          <w:top w:val="nil"/>
          <w:left w:val="nil"/>
          <w:bottom w:val="nil"/>
          <w:right w:val="nil"/>
          <w:between w:val="nil"/>
        </w:pBdr>
        <w:rPr>
          <w:rFonts w:ascii="Times New Roman" w:hAnsi="Times New Roman" w:cs="Times New Roman"/>
          <w:b/>
          <w:bCs/>
          <w:lang w:val="en-US"/>
        </w:rPr>
      </w:pPr>
      <w:r w:rsidRPr="00493508">
        <w:rPr>
          <w:rFonts w:ascii="Times New Roman" w:hAnsi="Times New Roman" w:cs="Times New Roman"/>
          <w:b/>
          <w:bCs/>
          <w:lang w:val="en-US"/>
        </w:rPr>
        <w:t>Methods</w:t>
      </w:r>
    </w:p>
    <w:p w14:paraId="14815065"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lang w:val="en-US"/>
        </w:rPr>
        <w:t>Patients admitted to the ICU after cadaveric liver transplantation were enrolled in the study. PLR was performed followed by RIC, which comprised of intermittent arm ischemia-reperfusion through 3 cycles of 5-minute inflation to 200 mmHg and 5-minute deflation of a brachial blood-pressure cuff. Afterwards PLR was repeated. Hemodynamic parameters were monitored using PiCCO monitor (Pulsion Medical Systems, Munich, Germany). Patients were classified as fluid responsive when stroke volume index (SVI) increased more than 10%. Data are reported as medians along with the 25th and 75th percentiles.</w:t>
      </w:r>
    </w:p>
    <w:p w14:paraId="5D668B18"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p>
    <w:p w14:paraId="3FF5F800" w14:textId="77777777" w:rsidR="00493508" w:rsidRPr="00493508" w:rsidRDefault="00493508" w:rsidP="00493508">
      <w:pPr>
        <w:pBdr>
          <w:top w:val="nil"/>
          <w:left w:val="nil"/>
          <w:bottom w:val="nil"/>
          <w:right w:val="nil"/>
          <w:between w:val="nil"/>
        </w:pBdr>
        <w:rPr>
          <w:rFonts w:ascii="Times New Roman" w:hAnsi="Times New Roman" w:cs="Times New Roman"/>
          <w:b/>
          <w:bCs/>
          <w:lang w:val="en-US"/>
        </w:rPr>
      </w:pPr>
      <w:r w:rsidRPr="00493508">
        <w:rPr>
          <w:rFonts w:ascii="Times New Roman" w:hAnsi="Times New Roman" w:cs="Times New Roman"/>
          <w:b/>
          <w:bCs/>
          <w:lang w:val="en-US"/>
        </w:rPr>
        <w:t>Results</w:t>
      </w:r>
    </w:p>
    <w:p w14:paraId="5A37F283"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lang w:val="en-US"/>
        </w:rPr>
        <w:t>Ten patients after liver transplantation, out of whom four were female and six were male, were enrolled in this study. Median age was 53 (49-57). The median Simplified Acute Physiology Score (SAPS) II and Sequential Organ Failure Assessment (SOFA) scores were 32 (25-36) and 7 (6-7) respectively. Three out of ten patients were classified as fluid responders. No significant changes in SVI were observed during PLR when comparing pre- and post-RIC. A significant correlation in SVI was found before and after RIC (r = 0.86, p = 0.001). Additionally, no significant differences were observed in heart rate, mean arterial pressure, central venous pressure, or cardiac index before and after RIC.</w:t>
      </w:r>
    </w:p>
    <w:p w14:paraId="2151DF4D"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p>
    <w:p w14:paraId="2F5F759D" w14:textId="77777777" w:rsidR="00493508" w:rsidRPr="00493508" w:rsidRDefault="00493508" w:rsidP="00493508">
      <w:pPr>
        <w:pBdr>
          <w:top w:val="nil"/>
          <w:left w:val="nil"/>
          <w:bottom w:val="nil"/>
          <w:right w:val="nil"/>
          <w:between w:val="nil"/>
        </w:pBdr>
        <w:rPr>
          <w:rFonts w:ascii="Times New Roman" w:hAnsi="Times New Roman" w:cs="Times New Roman"/>
          <w:b/>
          <w:bCs/>
          <w:lang w:val="en-US"/>
        </w:rPr>
      </w:pPr>
      <w:r w:rsidRPr="00493508">
        <w:rPr>
          <w:rFonts w:ascii="Times New Roman" w:hAnsi="Times New Roman" w:cs="Times New Roman"/>
          <w:b/>
          <w:bCs/>
          <w:lang w:val="en-US"/>
        </w:rPr>
        <w:t>Conclusions</w:t>
      </w:r>
    </w:p>
    <w:p w14:paraId="7C2FE2B2"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lang w:val="en-US"/>
        </w:rPr>
        <w:t xml:space="preserve">In patients after liver transplantation, RIC did not affect systemic hemodynamic response to PLR. </w:t>
      </w:r>
      <w:proofErr w:type="gramStart"/>
      <w:r w:rsidRPr="00493508">
        <w:rPr>
          <w:rFonts w:ascii="Times New Roman" w:hAnsi="Times New Roman" w:cs="Times New Roman"/>
        </w:rPr>
        <w:t>The majority of</w:t>
      </w:r>
      <w:proofErr w:type="gramEnd"/>
      <w:r w:rsidRPr="00493508">
        <w:rPr>
          <w:rFonts w:ascii="Times New Roman" w:hAnsi="Times New Roman" w:cs="Times New Roman"/>
        </w:rPr>
        <w:t xml:space="preserve"> patients studied following liver transplantation </w:t>
      </w:r>
      <w:r w:rsidRPr="00493508">
        <w:rPr>
          <w:rFonts w:ascii="Times New Roman" w:hAnsi="Times New Roman" w:cs="Times New Roman"/>
          <w:lang w:val="en-US"/>
        </w:rPr>
        <w:t xml:space="preserve">were fluid non-responders. </w:t>
      </w:r>
    </w:p>
    <w:p w14:paraId="5418BEA0"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p>
    <w:p w14:paraId="5455D29F"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r w:rsidRPr="00493508">
        <w:rPr>
          <w:rFonts w:ascii="Times New Roman" w:hAnsi="Times New Roman" w:cs="Times New Roman"/>
          <w:b/>
          <w:bCs/>
          <w:lang w:val="en-US"/>
        </w:rPr>
        <w:t>Funding</w:t>
      </w:r>
      <w:r w:rsidRPr="00493508">
        <w:rPr>
          <w:rFonts w:ascii="Times New Roman" w:hAnsi="Times New Roman" w:cs="Times New Roman"/>
          <w:lang w:val="en-US"/>
        </w:rPr>
        <w:t xml:space="preserve">: </w:t>
      </w:r>
      <w:r w:rsidRPr="00493508">
        <w:rPr>
          <w:rFonts w:ascii="Times New Roman" w:hAnsi="Times New Roman" w:cs="Times New Roman"/>
        </w:rPr>
        <w:t>This project has received funding from the Research Council of Lithuania (LMTLT), agreement No S-MIP-23-79.</w:t>
      </w:r>
    </w:p>
    <w:p w14:paraId="7B7DF713" w14:textId="77777777" w:rsidR="00493508" w:rsidRPr="00493508" w:rsidRDefault="00493508" w:rsidP="00493508">
      <w:pPr>
        <w:pBdr>
          <w:top w:val="nil"/>
          <w:left w:val="nil"/>
          <w:bottom w:val="nil"/>
          <w:right w:val="nil"/>
          <w:between w:val="nil"/>
        </w:pBdr>
        <w:rPr>
          <w:rFonts w:ascii="Times New Roman" w:hAnsi="Times New Roman" w:cs="Times New Roman"/>
          <w:lang w:val="en-US"/>
        </w:rPr>
      </w:pPr>
    </w:p>
    <w:p w14:paraId="0D34F048" w14:textId="77777777" w:rsidR="00493508" w:rsidRPr="00493508" w:rsidRDefault="00493508" w:rsidP="00493508">
      <w:pPr>
        <w:pBdr>
          <w:top w:val="nil"/>
          <w:left w:val="nil"/>
          <w:bottom w:val="nil"/>
          <w:right w:val="nil"/>
          <w:between w:val="nil"/>
        </w:pBdr>
        <w:rPr>
          <w:rFonts w:ascii="Times New Roman" w:hAnsi="Times New Roman" w:cs="Times New Roman"/>
          <w:b/>
          <w:bCs/>
        </w:rPr>
      </w:pPr>
    </w:p>
    <w:p w14:paraId="2A7C8186" w14:textId="5CF063E3" w:rsidR="00493508" w:rsidRPr="00493508" w:rsidRDefault="00493508" w:rsidP="00493508">
      <w:pPr>
        <w:pBdr>
          <w:top w:val="nil"/>
          <w:left w:val="nil"/>
          <w:bottom w:val="nil"/>
          <w:right w:val="nil"/>
          <w:between w:val="nil"/>
        </w:pBdr>
        <w:rPr>
          <w:rFonts w:ascii="Times New Roman" w:hAnsi="Times New Roman" w:cs="Times New Roman"/>
          <w:b/>
          <w:bCs/>
        </w:rPr>
      </w:pPr>
      <w:r w:rsidRPr="00493508">
        <w:rPr>
          <w:rFonts w:ascii="Times New Roman" w:hAnsi="Times New Roman" w:cs="Times New Roman"/>
          <w:b/>
          <w:bCs/>
        </w:rPr>
        <w:lastRenderedPageBreak/>
        <w:t>References</w:t>
      </w:r>
    </w:p>
    <w:sdt>
      <w:sdtPr>
        <w:rPr>
          <w:rFonts w:ascii="Times New Roman" w:hAnsi="Times New Roman" w:cs="Times New Roman"/>
          <w:bCs/>
        </w:rPr>
        <w:tag w:val="MENDELEY_BIBLIOGRAPHY"/>
        <w:id w:val="423457913"/>
        <w:placeholder>
          <w:docPart w:val="B1301FF7AA7D414C88751EE36189ED3A"/>
        </w:placeholder>
      </w:sdtPr>
      <w:sdtContent>
        <w:p w14:paraId="0581C1A2" w14:textId="77777777" w:rsidR="00493508" w:rsidRPr="00493508" w:rsidRDefault="00493508" w:rsidP="00493508">
          <w:pPr>
            <w:pBdr>
              <w:top w:val="nil"/>
              <w:left w:val="nil"/>
              <w:bottom w:val="nil"/>
              <w:right w:val="nil"/>
              <w:between w:val="nil"/>
            </w:pBdr>
            <w:rPr>
              <w:rFonts w:ascii="Times New Roman" w:hAnsi="Times New Roman" w:cs="Times New Roman"/>
            </w:rPr>
          </w:pPr>
          <w:r w:rsidRPr="00493508">
            <w:rPr>
              <w:rFonts w:ascii="Times New Roman" w:hAnsi="Times New Roman" w:cs="Times New Roman"/>
            </w:rPr>
            <w:t>1. Le Page S, et al. Remote ischemic conditioning: Current clinical perspectives. Journal of</w:t>
          </w:r>
          <w:r w:rsidRPr="00493508">
            <w:rPr>
              <w:rFonts w:ascii="Times New Roman" w:hAnsi="Times New Roman" w:cs="Times New Roman"/>
              <w:lang w:val="lt-LT"/>
            </w:rPr>
            <w:t xml:space="preserve"> </w:t>
          </w:r>
          <w:r w:rsidRPr="00493508">
            <w:rPr>
              <w:rFonts w:ascii="Times New Roman" w:hAnsi="Times New Roman" w:cs="Times New Roman"/>
            </w:rPr>
            <w:t>Cardiology. 2015: 91–6</w:t>
          </w:r>
        </w:p>
        <w:p w14:paraId="5DEE100F" w14:textId="77777777" w:rsidR="00493508" w:rsidRPr="00493508" w:rsidRDefault="00493508" w:rsidP="00493508">
          <w:pPr>
            <w:pBdr>
              <w:top w:val="nil"/>
              <w:left w:val="nil"/>
              <w:bottom w:val="nil"/>
              <w:right w:val="nil"/>
              <w:between w:val="nil"/>
            </w:pBdr>
            <w:rPr>
              <w:rFonts w:ascii="Times New Roman" w:hAnsi="Times New Roman" w:cs="Times New Roman"/>
            </w:rPr>
          </w:pPr>
          <w:r w:rsidRPr="00493508">
            <w:rPr>
              <w:rFonts w:ascii="Times New Roman" w:hAnsi="Times New Roman" w:cs="Times New Roman"/>
            </w:rPr>
            <w:t xml:space="preserve">2. </w:t>
          </w:r>
          <w:proofErr w:type="spellStart"/>
          <w:r w:rsidRPr="00493508">
            <w:rPr>
              <w:rFonts w:ascii="Times New Roman" w:hAnsi="Times New Roman" w:cs="Times New Roman"/>
            </w:rPr>
            <w:t>Kiudulaite</w:t>
          </w:r>
          <w:proofErr w:type="spellEnd"/>
          <w:r w:rsidRPr="00493508">
            <w:rPr>
              <w:rFonts w:ascii="Times New Roman" w:hAnsi="Times New Roman" w:cs="Times New Roman"/>
            </w:rPr>
            <w:t xml:space="preserve"> I, et al. Effects of remote ischemic conditioning on microcirculatory alterations in patients with sepsis: a single-arm clinical trial. Ann Intensive Care. </w:t>
          </w:r>
          <w:proofErr w:type="gramStart"/>
          <w:r w:rsidRPr="00493508">
            <w:rPr>
              <w:rFonts w:ascii="Times New Roman" w:hAnsi="Times New Roman" w:cs="Times New Roman"/>
            </w:rPr>
            <w:t>2021;1:11</w:t>
          </w:r>
          <w:proofErr w:type="gramEnd"/>
          <w:r w:rsidRPr="00493508">
            <w:rPr>
              <w:rFonts w:ascii="Times New Roman" w:hAnsi="Times New Roman" w:cs="Times New Roman"/>
            </w:rPr>
            <w:t xml:space="preserve">(1). </w:t>
          </w:r>
        </w:p>
        <w:p w14:paraId="10EAEFBC" w14:textId="77777777" w:rsidR="00493508" w:rsidRPr="00493508" w:rsidRDefault="00493508" w:rsidP="00493508">
          <w:pPr>
            <w:pBdr>
              <w:top w:val="nil"/>
              <w:left w:val="nil"/>
              <w:bottom w:val="nil"/>
              <w:right w:val="nil"/>
              <w:between w:val="nil"/>
            </w:pBdr>
            <w:rPr>
              <w:rFonts w:ascii="Times New Roman" w:hAnsi="Times New Roman" w:cs="Times New Roman"/>
            </w:rPr>
          </w:pPr>
          <w:r w:rsidRPr="00493508">
            <w:rPr>
              <w:rFonts w:ascii="Times New Roman" w:hAnsi="Times New Roman" w:cs="Times New Roman"/>
            </w:rPr>
            <w:t>3. Noronha Osório D, et al. BMC Cardiovascular Disorders. 2019; 19:211.</w:t>
          </w:r>
        </w:p>
        <w:p w14:paraId="1FFBC26F" w14:textId="77777777" w:rsidR="00493508" w:rsidRPr="00493508" w:rsidRDefault="00493508" w:rsidP="00493508">
          <w:pPr>
            <w:pBdr>
              <w:top w:val="nil"/>
              <w:left w:val="nil"/>
              <w:bottom w:val="nil"/>
              <w:right w:val="nil"/>
              <w:between w:val="nil"/>
            </w:pBdr>
            <w:rPr>
              <w:rFonts w:ascii="Times New Roman" w:hAnsi="Times New Roman" w:cs="Times New Roman"/>
              <w:b/>
              <w:bCs/>
            </w:rPr>
          </w:pPr>
          <w:r w:rsidRPr="00493508">
            <w:rPr>
              <w:rFonts w:ascii="Times New Roman" w:hAnsi="Times New Roman" w:cs="Times New Roman"/>
            </w:rPr>
            <w:t xml:space="preserve">4. </w:t>
          </w:r>
          <w:proofErr w:type="spellStart"/>
          <w:r w:rsidRPr="00493508">
            <w:rPr>
              <w:rFonts w:ascii="Times New Roman" w:hAnsi="Times New Roman" w:cs="Times New Roman"/>
            </w:rPr>
            <w:t>Manchurov</w:t>
          </w:r>
          <w:proofErr w:type="spellEnd"/>
          <w:r w:rsidRPr="00493508">
            <w:rPr>
              <w:rFonts w:ascii="Times New Roman" w:hAnsi="Times New Roman" w:cs="Times New Roman"/>
            </w:rPr>
            <w:t xml:space="preserve"> V, et al. Remote ischemic preconditioning and endothelial function in patients with acute myocardial infarction and primary PCI. Am J Med. </w:t>
          </w:r>
          <w:proofErr w:type="gramStart"/>
          <w:r w:rsidRPr="00493508">
            <w:rPr>
              <w:rFonts w:ascii="Times New Roman" w:hAnsi="Times New Roman" w:cs="Times New Roman"/>
            </w:rPr>
            <w:t>2014;127:670</w:t>
          </w:r>
          <w:proofErr w:type="gramEnd"/>
          <w:r w:rsidRPr="00493508">
            <w:rPr>
              <w:rFonts w:ascii="Times New Roman" w:hAnsi="Times New Roman" w:cs="Times New Roman"/>
            </w:rPr>
            <w:t>–3.</w:t>
          </w:r>
        </w:p>
        <w:p w14:paraId="185EEC93" w14:textId="77777777" w:rsidR="00493508" w:rsidRPr="00493508" w:rsidRDefault="00493508" w:rsidP="00493508">
          <w:pPr>
            <w:pBdr>
              <w:top w:val="nil"/>
              <w:left w:val="nil"/>
              <w:bottom w:val="nil"/>
              <w:right w:val="nil"/>
              <w:between w:val="nil"/>
            </w:pBdr>
            <w:rPr>
              <w:rFonts w:ascii="Times New Roman" w:hAnsi="Times New Roman" w:cs="Times New Roman"/>
              <w:bCs/>
            </w:rPr>
          </w:pPr>
        </w:p>
      </w:sdtContent>
    </w:sdt>
    <w:p w14:paraId="49132215" w14:textId="77777777" w:rsidR="00493508" w:rsidRPr="00493508" w:rsidRDefault="00493508" w:rsidP="00493508">
      <w:pPr>
        <w:pBdr>
          <w:top w:val="nil"/>
          <w:left w:val="nil"/>
          <w:bottom w:val="nil"/>
          <w:right w:val="nil"/>
          <w:between w:val="nil"/>
        </w:pBdr>
        <w:rPr>
          <w:rFonts w:ascii="Times New Roman" w:hAnsi="Times New Roman" w:cs="Times New Roman"/>
        </w:rPr>
      </w:pPr>
    </w:p>
    <w:sectPr w:rsidR="00493508" w:rsidRPr="0049350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21EB"/>
    <w:multiLevelType w:val="multilevel"/>
    <w:tmpl w:val="DCCE5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D17D2D"/>
    <w:multiLevelType w:val="hybridMultilevel"/>
    <w:tmpl w:val="0A6AC1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88231064">
    <w:abstractNumId w:val="0"/>
  </w:num>
  <w:num w:numId="2" w16cid:durableId="183902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2A"/>
    <w:rsid w:val="001C1942"/>
    <w:rsid w:val="00493508"/>
    <w:rsid w:val="00993F45"/>
    <w:rsid w:val="00A1352A"/>
    <w:rsid w:val="00DA2640"/>
    <w:rsid w:val="00E43615"/>
    <w:rsid w:val="00F960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1D125"/>
  <w15:docId w15:val="{1E81CE96-DCFF-3742-AEED-A75586D7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63EA0"/>
    <w:pPr>
      <w:ind w:left="720"/>
      <w:contextualSpacing/>
    </w:pPr>
  </w:style>
  <w:style w:type="paragraph" w:customStyle="1" w:styleId="c-bibliographic-informationcitation">
    <w:name w:val="c-bibliographic-information__citation"/>
    <w:basedOn w:val="Normal"/>
    <w:rsid w:val="00163EA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63EA0"/>
  </w:style>
  <w:style w:type="character" w:styleId="Hyperlink">
    <w:name w:val="Hyperlink"/>
    <w:basedOn w:val="DefaultParagraphFont"/>
    <w:uiPriority w:val="99"/>
    <w:unhideWhenUsed/>
    <w:rsid w:val="000B08AA"/>
    <w:rPr>
      <w:color w:val="0563C1" w:themeColor="hyperlink"/>
      <w:u w:val="single"/>
    </w:rPr>
  </w:style>
  <w:style w:type="character" w:styleId="UnresolvedMention">
    <w:name w:val="Unresolved Mention"/>
    <w:basedOn w:val="DefaultParagraphFont"/>
    <w:uiPriority w:val="99"/>
    <w:semiHidden/>
    <w:unhideWhenUsed/>
    <w:rsid w:val="000B08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1837">
      <w:bodyDiv w:val="1"/>
      <w:marLeft w:val="0"/>
      <w:marRight w:val="0"/>
      <w:marTop w:val="0"/>
      <w:marBottom w:val="0"/>
      <w:divBdr>
        <w:top w:val="none" w:sz="0" w:space="0" w:color="auto"/>
        <w:left w:val="none" w:sz="0" w:space="0" w:color="auto"/>
        <w:bottom w:val="none" w:sz="0" w:space="0" w:color="auto"/>
        <w:right w:val="none" w:sz="0" w:space="0" w:color="auto"/>
      </w:divBdr>
    </w:div>
    <w:div w:id="360979206">
      <w:bodyDiv w:val="1"/>
      <w:marLeft w:val="0"/>
      <w:marRight w:val="0"/>
      <w:marTop w:val="0"/>
      <w:marBottom w:val="0"/>
      <w:divBdr>
        <w:top w:val="none" w:sz="0" w:space="0" w:color="auto"/>
        <w:left w:val="none" w:sz="0" w:space="0" w:color="auto"/>
        <w:bottom w:val="none" w:sz="0" w:space="0" w:color="auto"/>
        <w:right w:val="none" w:sz="0" w:space="0" w:color="auto"/>
      </w:divBdr>
    </w:div>
    <w:div w:id="820730919">
      <w:bodyDiv w:val="1"/>
      <w:marLeft w:val="0"/>
      <w:marRight w:val="0"/>
      <w:marTop w:val="0"/>
      <w:marBottom w:val="0"/>
      <w:divBdr>
        <w:top w:val="none" w:sz="0" w:space="0" w:color="auto"/>
        <w:left w:val="none" w:sz="0" w:space="0" w:color="auto"/>
        <w:bottom w:val="none" w:sz="0" w:space="0" w:color="auto"/>
        <w:right w:val="none" w:sz="0" w:space="0" w:color="auto"/>
      </w:divBdr>
    </w:div>
    <w:div w:id="932786426">
      <w:bodyDiv w:val="1"/>
      <w:marLeft w:val="0"/>
      <w:marRight w:val="0"/>
      <w:marTop w:val="0"/>
      <w:marBottom w:val="0"/>
      <w:divBdr>
        <w:top w:val="none" w:sz="0" w:space="0" w:color="auto"/>
        <w:left w:val="none" w:sz="0" w:space="0" w:color="auto"/>
        <w:bottom w:val="none" w:sz="0" w:space="0" w:color="auto"/>
        <w:right w:val="none" w:sz="0" w:space="0" w:color="auto"/>
      </w:divBdr>
    </w:div>
    <w:div w:id="1706446435">
      <w:bodyDiv w:val="1"/>
      <w:marLeft w:val="0"/>
      <w:marRight w:val="0"/>
      <w:marTop w:val="0"/>
      <w:marBottom w:val="0"/>
      <w:divBdr>
        <w:top w:val="none" w:sz="0" w:space="0" w:color="auto"/>
        <w:left w:val="none" w:sz="0" w:space="0" w:color="auto"/>
        <w:bottom w:val="none" w:sz="0" w:space="0" w:color="auto"/>
        <w:right w:val="none" w:sz="0" w:space="0" w:color="auto"/>
      </w:divBdr>
    </w:div>
    <w:div w:id="1713073933">
      <w:bodyDiv w:val="1"/>
      <w:marLeft w:val="0"/>
      <w:marRight w:val="0"/>
      <w:marTop w:val="0"/>
      <w:marBottom w:val="0"/>
      <w:divBdr>
        <w:top w:val="none" w:sz="0" w:space="0" w:color="auto"/>
        <w:left w:val="none" w:sz="0" w:space="0" w:color="auto"/>
        <w:bottom w:val="none" w:sz="0" w:space="0" w:color="auto"/>
        <w:right w:val="none" w:sz="0" w:space="0" w:color="auto"/>
      </w:divBdr>
    </w:div>
    <w:div w:id="1961105561">
      <w:bodyDiv w:val="1"/>
      <w:marLeft w:val="0"/>
      <w:marRight w:val="0"/>
      <w:marTop w:val="0"/>
      <w:marBottom w:val="0"/>
      <w:divBdr>
        <w:top w:val="none" w:sz="0" w:space="0" w:color="auto"/>
        <w:left w:val="none" w:sz="0" w:space="0" w:color="auto"/>
        <w:bottom w:val="none" w:sz="0" w:space="0" w:color="auto"/>
        <w:right w:val="none" w:sz="0" w:space="0" w:color="auto"/>
      </w:divBdr>
    </w:div>
    <w:div w:id="207959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86/s44158-024-00186-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014B108A9743E585AE5205E5D53019"/>
        <w:category>
          <w:name w:val="General"/>
          <w:gallery w:val="placeholder"/>
        </w:category>
        <w:types>
          <w:type w:val="bbPlcHdr"/>
        </w:types>
        <w:behaviors>
          <w:behavior w:val="content"/>
        </w:behaviors>
        <w:guid w:val="{89DEDA22-CB79-4A6D-8021-EE219AE6EE9C}"/>
      </w:docPartPr>
      <w:docPartBody>
        <w:p w:rsidR="00000000" w:rsidRDefault="004B1CC0" w:rsidP="004B1CC0">
          <w:pPr>
            <w:pStyle w:val="BB014B108A9743E585AE5205E5D53019"/>
          </w:pPr>
          <w:r>
            <w:rPr>
              <w:rStyle w:val="PlaceholderText"/>
            </w:rPr>
            <w:t>Norėdami įvesti tekstą, spustelėkite arba bakstelėkite čia.</w:t>
          </w:r>
        </w:p>
      </w:docPartBody>
    </w:docPart>
    <w:docPart>
      <w:docPartPr>
        <w:name w:val="C931989A8C744FCDBE413FAEAC23D9A2"/>
        <w:category>
          <w:name w:val="General"/>
          <w:gallery w:val="placeholder"/>
        </w:category>
        <w:types>
          <w:type w:val="bbPlcHdr"/>
        </w:types>
        <w:behaviors>
          <w:behavior w:val="content"/>
        </w:behaviors>
        <w:guid w:val="{C6081145-842E-4A98-BDE3-99E22C4806FB}"/>
      </w:docPartPr>
      <w:docPartBody>
        <w:p w:rsidR="00000000" w:rsidRDefault="004B1CC0" w:rsidP="004B1CC0">
          <w:pPr>
            <w:pStyle w:val="C931989A8C744FCDBE413FAEAC23D9A2"/>
          </w:pPr>
          <w:r>
            <w:rPr>
              <w:rStyle w:val="PlaceholderText"/>
            </w:rPr>
            <w:t>Norėdami įvesti tekstą, spustelėkite arba bakstelėkite čia.</w:t>
          </w:r>
        </w:p>
      </w:docPartBody>
    </w:docPart>
    <w:docPart>
      <w:docPartPr>
        <w:name w:val="C2E5D9220A1744C2BECDDE701E2E3180"/>
        <w:category>
          <w:name w:val="General"/>
          <w:gallery w:val="placeholder"/>
        </w:category>
        <w:types>
          <w:type w:val="bbPlcHdr"/>
        </w:types>
        <w:behaviors>
          <w:behavior w:val="content"/>
        </w:behaviors>
        <w:guid w:val="{F5894F15-5EAC-4DD6-BBD5-6CBC2CC1F54D}"/>
      </w:docPartPr>
      <w:docPartBody>
        <w:p w:rsidR="00000000" w:rsidRDefault="004B1CC0" w:rsidP="004B1CC0">
          <w:pPr>
            <w:pStyle w:val="C2E5D9220A1744C2BECDDE701E2E3180"/>
          </w:pPr>
          <w:r>
            <w:rPr>
              <w:rStyle w:val="PlaceholderText"/>
            </w:rPr>
            <w:t>Norėdami įvesti tekstą, spustelėkite arba bakstelėkite čia.</w:t>
          </w:r>
        </w:p>
      </w:docPartBody>
    </w:docPart>
    <w:docPart>
      <w:docPartPr>
        <w:name w:val="B1301FF7AA7D414C88751EE36189ED3A"/>
        <w:category>
          <w:name w:val="General"/>
          <w:gallery w:val="placeholder"/>
        </w:category>
        <w:types>
          <w:type w:val="bbPlcHdr"/>
        </w:types>
        <w:behaviors>
          <w:behavior w:val="content"/>
        </w:behaviors>
        <w:guid w:val="{A1D6471B-44A6-443C-B175-2B7E12AF4EE8}"/>
      </w:docPartPr>
      <w:docPartBody>
        <w:p w:rsidR="00000000" w:rsidRDefault="004B1CC0" w:rsidP="004B1CC0">
          <w:pPr>
            <w:pStyle w:val="B1301FF7AA7D414C88751EE36189ED3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C0"/>
    <w:rsid w:val="00043A1F"/>
    <w:rsid w:val="004B1CC0"/>
    <w:rsid w:val="00F960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CC0"/>
  </w:style>
  <w:style w:type="paragraph" w:customStyle="1" w:styleId="F61894C348D84035AED352D728657828">
    <w:name w:val="F61894C348D84035AED352D728657828"/>
    <w:rsid w:val="004B1CC0"/>
  </w:style>
  <w:style w:type="paragraph" w:customStyle="1" w:styleId="E4386FCEA5954FE18A9087A4F15C03BE">
    <w:name w:val="E4386FCEA5954FE18A9087A4F15C03BE"/>
    <w:rsid w:val="004B1CC0"/>
  </w:style>
  <w:style w:type="paragraph" w:customStyle="1" w:styleId="95A010886A754AF5844E8BB2F6824C00">
    <w:name w:val="95A010886A754AF5844E8BB2F6824C00"/>
    <w:rsid w:val="004B1CC0"/>
  </w:style>
  <w:style w:type="paragraph" w:customStyle="1" w:styleId="BB014B108A9743E585AE5205E5D53019">
    <w:name w:val="BB014B108A9743E585AE5205E5D53019"/>
    <w:rsid w:val="004B1CC0"/>
  </w:style>
  <w:style w:type="paragraph" w:customStyle="1" w:styleId="C931989A8C744FCDBE413FAEAC23D9A2">
    <w:name w:val="C931989A8C744FCDBE413FAEAC23D9A2"/>
    <w:rsid w:val="004B1CC0"/>
  </w:style>
  <w:style w:type="paragraph" w:customStyle="1" w:styleId="C2E5D9220A1744C2BECDDE701E2E3180">
    <w:name w:val="C2E5D9220A1744C2BECDDE701E2E3180"/>
    <w:rsid w:val="004B1CC0"/>
  </w:style>
  <w:style w:type="paragraph" w:customStyle="1" w:styleId="DBE2E498276948639D16C8578651EB32">
    <w:name w:val="DBE2E498276948639D16C8578651EB32"/>
    <w:rsid w:val="004B1CC0"/>
  </w:style>
  <w:style w:type="paragraph" w:customStyle="1" w:styleId="B1301FF7AA7D414C88751EE36189ED3A">
    <w:name w:val="B1301FF7AA7D414C88751EE36189ED3A"/>
    <w:rsid w:val="004B1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igS+gmsY2UHy2pBCn99LKoRPA==">CgMxLjAaYgoBMBJdClsIARJXCiwxLU55anZpV1VBZkducmZyOW50QnRqRmJJS0pxRDBFc0RLaWhsekt1Si1PVRIJMjg2NTY3NTU5GhhtQkJ0b1VEdjBVSDJyalZ6ZW1xYmVnPT0iAhIAOABqKwoUc3VnZ2VzdC55dzJ1OGN5dngzY2wSE0xhdXJ5bmFzIEthbmFwZWNrYXNqKwoUc3VnZ2VzdC5oNGNhN3lndGxjd2MSE0xhdXJ5bmFzIEthbmFwZWNrYXNqKwoUc3VnZ2VzdC5teXBkdXpzbnk4amUSE0xhdXJ5bmFzIEthbmFwZWNrYXNqKwoUc3VnZ2VzdC54dGx2enZlaWg5MHISE0xhdXJ5bmFzIEthbmFwZWNrYXNqKwoUc3VnZ2VzdC55eHQxMXU0YzhtejESE0xhdXJ5bmFzIEthbmFwZWNrYXNyITFSYkpzTmhZNnc3VU5VbVNYV2ZBTHlodjYwU3MtSG9O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2167</Words>
  <Characters>13268</Characters>
  <Application>Microsoft Office Word</Application>
  <DocSecurity>0</DocSecurity>
  <Lines>301</Lines>
  <Paragraphs>122</Paragraphs>
  <ScaleCrop>false</ScaleCrop>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Gecevičienė</dc:creator>
  <cp:lastModifiedBy>Sviatlana Kovel</cp:lastModifiedBy>
  <cp:revision>6</cp:revision>
  <dcterms:created xsi:type="dcterms:W3CDTF">2024-09-18T14:33:00Z</dcterms:created>
  <dcterms:modified xsi:type="dcterms:W3CDTF">2024-09-26T18:23:00Z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0c3bb8a9f901ef4cfadb155acf9e663ffb754c433162f34494c1adaca7a17c4b</vt:lpwstr>
  </property>
</Properties>
</file>